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A1E" w:rsidRPr="00492A1E" w:rsidRDefault="00492A1E" w:rsidP="00A129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</w:pPr>
      <w:proofErr w:type="spellStart"/>
      <w:r w:rsidRPr="00492A1E">
        <w:t>Sémaglutide</w:t>
      </w:r>
      <w:proofErr w:type="spellEnd"/>
      <w:r w:rsidRPr="00492A1E">
        <w:t xml:space="preserve"> et régulation de la glycémie</w:t>
      </w:r>
    </w:p>
    <w:p w:rsidR="00A1299A" w:rsidRDefault="00A1299A" w:rsidP="00C02303">
      <w:pPr>
        <w:pBdr>
          <w:bottom w:val="single" w:sz="4" w:space="1" w:color="auto"/>
        </w:pBdr>
        <w:spacing w:line="240" w:lineRule="auto"/>
        <w:rPr>
          <w:sz w:val="22"/>
        </w:rPr>
      </w:pPr>
    </w:p>
    <w:p w:rsidR="0012475D" w:rsidRPr="0012475D" w:rsidRDefault="004A4EEF" w:rsidP="00C02303">
      <w:pPr>
        <w:pBdr>
          <w:bottom w:val="single" w:sz="4" w:space="1" w:color="auto"/>
        </w:pBdr>
        <w:spacing w:line="240" w:lineRule="auto"/>
        <w:rPr>
          <w:sz w:val="22"/>
        </w:rPr>
      </w:pPr>
      <w:r>
        <w:rPr>
          <w:sz w:val="22"/>
        </w:rPr>
        <w:t xml:space="preserve">Analyse de modèles moléculaires </w:t>
      </w:r>
      <w:r w:rsidR="00D26BEF">
        <w:rPr>
          <w:sz w:val="22"/>
        </w:rPr>
        <w:t xml:space="preserve">et de résultats expérimentaux </w:t>
      </w:r>
      <w:r>
        <w:rPr>
          <w:sz w:val="22"/>
        </w:rPr>
        <w:t xml:space="preserve">pour </w:t>
      </w:r>
      <w:r w:rsidR="00A1299A">
        <w:rPr>
          <w:sz w:val="22"/>
        </w:rPr>
        <w:t xml:space="preserve">déterminer par quels mécanismes </w:t>
      </w:r>
      <w:r w:rsidR="00A1299A" w:rsidRPr="00A1299A">
        <w:rPr>
          <w:sz w:val="22"/>
        </w:rPr>
        <w:t xml:space="preserve">le </w:t>
      </w:r>
      <w:proofErr w:type="spellStart"/>
      <w:r w:rsidR="00A1299A" w:rsidRPr="00A1299A">
        <w:rPr>
          <w:sz w:val="22"/>
        </w:rPr>
        <w:t>sémaglutide</w:t>
      </w:r>
      <w:proofErr w:type="spellEnd"/>
      <w:r w:rsidR="00A1299A" w:rsidRPr="00A1299A">
        <w:rPr>
          <w:sz w:val="22"/>
        </w:rPr>
        <w:t xml:space="preserve"> fai</w:t>
      </w:r>
      <w:r w:rsidR="00A1299A">
        <w:rPr>
          <w:sz w:val="22"/>
        </w:rPr>
        <w:t>t</w:t>
      </w:r>
      <w:r w:rsidR="00A1299A" w:rsidRPr="00A1299A">
        <w:rPr>
          <w:sz w:val="22"/>
        </w:rPr>
        <w:t xml:space="preserve"> baisser la glycémie</w:t>
      </w:r>
      <w:r w:rsidR="0012475D">
        <w:rPr>
          <w:sz w:val="22"/>
        </w:rPr>
        <w:t xml:space="preserve">. </w:t>
      </w:r>
      <w:r w:rsidR="003945EC">
        <w:rPr>
          <w:sz w:val="22"/>
        </w:rPr>
        <w:t>Réflexion sur les mésusages d’un médicament.</w:t>
      </w:r>
    </w:p>
    <w:p w:rsidR="0012475D" w:rsidRDefault="0012475D" w:rsidP="00C02303">
      <w:pPr>
        <w:pBdr>
          <w:bottom w:val="single" w:sz="4" w:space="1" w:color="auto"/>
        </w:pBdr>
        <w:spacing w:line="240" w:lineRule="auto"/>
      </w:pPr>
    </w:p>
    <w:p w:rsidR="00C02303" w:rsidRPr="00C02303" w:rsidRDefault="00C02303" w:rsidP="00C02303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C02303">
        <w:rPr>
          <w:b/>
          <w:sz w:val="22"/>
        </w:rPr>
        <w:t>Partie de programme</w:t>
      </w:r>
    </w:p>
    <w:p w:rsidR="00F76BCB" w:rsidRDefault="00F76BCB" w:rsidP="00C02303">
      <w:pPr>
        <w:spacing w:line="240" w:lineRule="auto"/>
        <w:rPr>
          <w:rFonts w:cstheme="minorHAnsi"/>
          <w:color w:val="17818E"/>
          <w:sz w:val="28"/>
        </w:rPr>
      </w:pPr>
      <w:r w:rsidRPr="00F76BCB">
        <w:rPr>
          <w:rFonts w:cstheme="minorHAnsi"/>
          <w:color w:val="17818E"/>
          <w:sz w:val="28"/>
        </w:rPr>
        <w:t xml:space="preserve">Programme de sciences de la vie et de la Terre de </w:t>
      </w:r>
      <w:r w:rsidR="009C5FA4">
        <w:rPr>
          <w:rFonts w:cstheme="minorHAnsi"/>
          <w:color w:val="17818E"/>
          <w:sz w:val="28"/>
        </w:rPr>
        <w:t>terminale</w:t>
      </w:r>
      <w:r w:rsidRPr="00F76BCB">
        <w:rPr>
          <w:rFonts w:cstheme="minorHAnsi"/>
          <w:color w:val="17818E"/>
          <w:sz w:val="28"/>
        </w:rPr>
        <w:t xml:space="preserve"> spécialité</w:t>
      </w:r>
    </w:p>
    <w:p w:rsidR="00687CCA" w:rsidRDefault="00687CCA" w:rsidP="009C5FA4">
      <w:pPr>
        <w:pStyle w:val="Titre31"/>
        <w:tabs>
          <w:tab w:val="left" w:pos="496"/>
          <w:tab w:val="left" w:pos="497"/>
        </w:tabs>
        <w:ind w:left="135" w:firstLine="0"/>
        <w:rPr>
          <w:rFonts w:asciiTheme="minorHAnsi" w:eastAsiaTheme="minorHAnsi" w:hAnsiTheme="minorHAnsi" w:cstheme="minorHAnsi"/>
          <w:b w:val="0"/>
          <w:bCs w:val="0"/>
          <w:color w:val="17818E"/>
          <w:sz w:val="28"/>
          <w:szCs w:val="24"/>
          <w:lang w:eastAsia="en-US" w:bidi="ar-SA"/>
        </w:rPr>
      </w:pPr>
      <w:r w:rsidRPr="00687CCA">
        <w:rPr>
          <w:rFonts w:asciiTheme="minorHAnsi" w:eastAsiaTheme="minorHAnsi" w:hAnsiTheme="minorHAnsi" w:cstheme="minorHAnsi"/>
          <w:b w:val="0"/>
          <w:bCs w:val="0"/>
          <w:color w:val="17818E"/>
          <w:sz w:val="28"/>
          <w:szCs w:val="24"/>
          <w:lang w:eastAsia="en-US" w:bidi="ar-SA"/>
        </w:rPr>
        <w:t>Corps humain et santé</w:t>
      </w:r>
    </w:p>
    <w:p w:rsidR="00C02303" w:rsidRPr="009C5FA4" w:rsidRDefault="00A1299A" w:rsidP="009C5FA4">
      <w:pPr>
        <w:pStyle w:val="Titre31"/>
        <w:tabs>
          <w:tab w:val="left" w:pos="496"/>
          <w:tab w:val="left" w:pos="497"/>
        </w:tabs>
        <w:ind w:left="135" w:firstLine="0"/>
      </w:pPr>
      <w:r w:rsidRPr="00A1299A">
        <w:rPr>
          <w:color w:val="17818E"/>
        </w:rPr>
        <w:t>Produire le mouvement : contraction musculaire et apport d’énergie</w:t>
      </w:r>
    </w:p>
    <w:tbl>
      <w:tblPr>
        <w:tblStyle w:val="TableNormal"/>
        <w:tblW w:w="896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5"/>
      </w:tblGrid>
      <w:tr w:rsidR="00C02303" w:rsidRPr="002E480A" w:rsidTr="00C02303">
        <w:trPr>
          <w:trHeight w:val="429"/>
        </w:trPr>
        <w:tc>
          <w:tcPr>
            <w:tcW w:w="8965" w:type="dxa"/>
          </w:tcPr>
          <w:p w:rsidR="00C02303" w:rsidRPr="009C5FA4" w:rsidRDefault="00A1299A" w:rsidP="00605FA9">
            <w:pPr>
              <w:pStyle w:val="TableParagraph"/>
              <w:spacing w:before="84"/>
              <w:rPr>
                <w:rFonts w:asciiTheme="minorHAnsi" w:hAnsiTheme="minorHAnsi" w:cstheme="minorHAnsi"/>
                <w:b/>
                <w:lang w:val="fr-FR"/>
              </w:rPr>
            </w:pPr>
            <w:r w:rsidRPr="00A1299A">
              <w:rPr>
                <w:b/>
                <w:color w:val="17818E"/>
                <w:lang w:val="fr-FR"/>
              </w:rPr>
              <w:t>Le contrôle des flux de glucose, source essentielle d’énergie des cellules musculaires</w:t>
            </w:r>
          </w:p>
        </w:tc>
      </w:tr>
      <w:tr w:rsidR="00C02303" w:rsidRPr="002E480A" w:rsidTr="00C02303">
        <w:trPr>
          <w:trHeight w:val="549"/>
        </w:trPr>
        <w:tc>
          <w:tcPr>
            <w:tcW w:w="8965" w:type="dxa"/>
          </w:tcPr>
          <w:p w:rsidR="00396CE3" w:rsidRDefault="00396CE3" w:rsidP="00687CCA">
            <w:pPr>
              <w:pStyle w:val="Corpsdetexte"/>
              <w:spacing w:before="59"/>
              <w:ind w:right="157"/>
              <w:rPr>
                <w:rFonts w:asciiTheme="minorHAnsi" w:hAnsiTheme="minorHAnsi" w:cstheme="minorHAnsi"/>
                <w:lang w:val="fr-FR"/>
              </w:rPr>
            </w:pPr>
            <w:r w:rsidRPr="00396CE3">
              <w:rPr>
                <w:rFonts w:asciiTheme="minorHAnsi" w:hAnsiTheme="minorHAnsi" w:cstheme="minorHAnsi"/>
                <w:lang w:val="fr-FR"/>
              </w:rPr>
              <w:t xml:space="preserve">Les réserves de glucose se trouvent sous forme de glycogène dans les cellules musculaires et dans les cellules hépatiques. </w:t>
            </w:r>
          </w:p>
          <w:p w:rsidR="00615EC4" w:rsidRDefault="00615EC4" w:rsidP="00687CCA">
            <w:pPr>
              <w:pStyle w:val="Corpsdetexte"/>
              <w:spacing w:before="59"/>
              <w:ind w:right="157"/>
              <w:rPr>
                <w:rFonts w:asciiTheme="minorHAnsi" w:hAnsiTheme="minorHAnsi" w:cstheme="minorHAnsi"/>
                <w:lang w:val="fr-FR"/>
              </w:rPr>
            </w:pPr>
            <w:r w:rsidRPr="00615EC4">
              <w:rPr>
                <w:rFonts w:asciiTheme="minorHAnsi" w:hAnsiTheme="minorHAnsi" w:cstheme="minorHAnsi"/>
                <w:lang w:val="fr-FR"/>
              </w:rPr>
              <w:t>La glycémie est la concentration de glucose dans le sang, maintenue dans un intervalle relativement étroit autour d’une valeur d’équilibre proche de 1</w:t>
            </w:r>
            <w:proofErr w:type="gramStart"/>
            <w:r w:rsidRPr="00615EC4">
              <w:rPr>
                <w:rFonts w:asciiTheme="minorHAnsi" w:hAnsiTheme="minorHAnsi" w:cstheme="minorHAnsi"/>
                <w:lang w:val="fr-FR"/>
              </w:rPr>
              <w:t>g.L</w:t>
            </w:r>
            <w:proofErr w:type="gramEnd"/>
            <w:r w:rsidRPr="00615EC4">
              <w:rPr>
                <w:rFonts w:asciiTheme="minorHAnsi" w:hAnsiTheme="minorHAnsi" w:cstheme="minorHAnsi"/>
                <w:vertAlign w:val="superscript"/>
                <w:lang w:val="fr-FR"/>
              </w:rPr>
              <w:t>-1</w:t>
            </w:r>
            <w:r w:rsidRPr="00615EC4">
              <w:rPr>
                <w:rFonts w:asciiTheme="minorHAnsi" w:hAnsiTheme="minorHAnsi" w:cstheme="minorHAnsi"/>
                <w:lang w:val="fr-FR"/>
              </w:rPr>
              <w:t>. Elle dépend des apports alimentaires et est régulée par deux hormones sécrétées par le pancréas.</w:t>
            </w:r>
          </w:p>
          <w:p w:rsidR="00396CE3" w:rsidRPr="002E480A" w:rsidRDefault="00A1299A" w:rsidP="00D52FF5">
            <w:pPr>
              <w:pStyle w:val="Corpsdetexte"/>
              <w:spacing w:before="59" w:after="120"/>
              <w:ind w:right="159"/>
              <w:rPr>
                <w:rFonts w:asciiTheme="minorHAnsi" w:hAnsiTheme="minorHAnsi" w:cstheme="minorHAnsi"/>
                <w:lang w:val="fr-FR"/>
              </w:rPr>
            </w:pPr>
            <w:r w:rsidRPr="00A1299A">
              <w:rPr>
                <w:rFonts w:asciiTheme="minorHAnsi" w:hAnsiTheme="minorHAnsi" w:cstheme="minorHAnsi"/>
                <w:lang w:val="fr-FR"/>
              </w:rPr>
              <w:t>L’insuline entraîne l’entrée de glucose dans les cellules musculaires (et hépatiques) et le glucagon provoque la sortie du glucose des cellules hépatiques, grâce à des protéines membranaires transportant le glucose.</w:t>
            </w:r>
          </w:p>
        </w:tc>
      </w:tr>
      <w:tr w:rsidR="00C02303" w:rsidRPr="002E480A" w:rsidTr="00605FA9">
        <w:trPr>
          <w:trHeight w:val="549"/>
        </w:trPr>
        <w:tc>
          <w:tcPr>
            <w:tcW w:w="8965" w:type="dxa"/>
          </w:tcPr>
          <w:p w:rsidR="00C02303" w:rsidRPr="002E480A" w:rsidRDefault="00615EC4" w:rsidP="00C02303">
            <w:pPr>
              <w:pStyle w:val="Corpsdetexte"/>
              <w:spacing w:before="59"/>
              <w:ind w:right="157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Notions fondamentales</w:t>
            </w:r>
          </w:p>
          <w:p w:rsidR="00687CCA" w:rsidRPr="002E480A" w:rsidRDefault="00615EC4" w:rsidP="00D52FF5">
            <w:pPr>
              <w:pStyle w:val="Corpsdetexte"/>
              <w:tabs>
                <w:tab w:val="left" w:pos="200"/>
              </w:tabs>
              <w:spacing w:before="14" w:after="120" w:line="226" w:lineRule="auto"/>
              <w:ind w:left="198" w:right="34"/>
              <w:jc w:val="left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H</w:t>
            </w:r>
            <w:r w:rsidRPr="00615EC4">
              <w:rPr>
                <w:rFonts w:asciiTheme="minorHAnsi" w:hAnsiTheme="minorHAnsi" w:cstheme="minorHAnsi"/>
                <w:lang w:val="fr-FR"/>
              </w:rPr>
              <w:t xml:space="preserve">ormones hyper et hypo </w:t>
            </w:r>
            <w:proofErr w:type="spellStart"/>
            <w:r w:rsidRPr="00615EC4">
              <w:rPr>
                <w:rFonts w:asciiTheme="minorHAnsi" w:hAnsiTheme="minorHAnsi" w:cstheme="minorHAnsi"/>
                <w:lang w:val="fr-FR"/>
              </w:rPr>
              <w:t>glycémiantes</w:t>
            </w:r>
            <w:proofErr w:type="spellEnd"/>
            <w:r w:rsidRPr="00615EC4">
              <w:rPr>
                <w:rFonts w:asciiTheme="minorHAnsi" w:hAnsiTheme="minorHAnsi" w:cstheme="minorHAnsi"/>
                <w:lang w:val="fr-FR"/>
              </w:rPr>
              <w:t xml:space="preserve">, </w:t>
            </w:r>
            <w:r w:rsidR="00396CE3" w:rsidRPr="00396CE3">
              <w:rPr>
                <w:rFonts w:asciiTheme="minorHAnsi" w:hAnsiTheme="minorHAnsi" w:cstheme="minorHAnsi"/>
                <w:lang w:val="fr-FR"/>
              </w:rPr>
              <w:t>système de régulation</w:t>
            </w:r>
            <w:r w:rsidR="00396CE3">
              <w:rPr>
                <w:rFonts w:asciiTheme="minorHAnsi" w:hAnsiTheme="minorHAnsi" w:cstheme="minorHAnsi"/>
                <w:lang w:val="fr-FR"/>
              </w:rPr>
              <w:t>,</w:t>
            </w:r>
            <w:r w:rsidR="00396CE3" w:rsidRPr="00396CE3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615EC4">
              <w:rPr>
                <w:rFonts w:asciiTheme="minorHAnsi" w:hAnsiTheme="minorHAnsi" w:cstheme="minorHAnsi"/>
                <w:lang w:val="fr-FR"/>
              </w:rPr>
              <w:t>récepteurs à insuline et à glucagon.</w:t>
            </w:r>
          </w:p>
        </w:tc>
      </w:tr>
    </w:tbl>
    <w:p w:rsidR="00C02303" w:rsidRDefault="00C02303" w:rsidP="00C02303">
      <w:pPr>
        <w:spacing w:line="240" w:lineRule="auto"/>
      </w:pPr>
    </w:p>
    <w:p w:rsidR="00C42DF5" w:rsidRDefault="00C42DF5" w:rsidP="00C42DF5">
      <w:pPr>
        <w:spacing w:line="240" w:lineRule="auto"/>
        <w:rPr>
          <w:rFonts w:cstheme="minorHAnsi"/>
          <w:b/>
          <w:bCs/>
          <w:color w:val="17818E"/>
          <w:sz w:val="28"/>
        </w:rPr>
      </w:pPr>
      <w:r w:rsidRPr="00F76BCB">
        <w:rPr>
          <w:rFonts w:cstheme="minorHAnsi"/>
          <w:color w:val="17818E"/>
          <w:sz w:val="28"/>
        </w:rPr>
        <w:t>P</w:t>
      </w:r>
      <w:r>
        <w:rPr>
          <w:rFonts w:cstheme="minorHAnsi"/>
          <w:color w:val="17818E"/>
          <w:sz w:val="28"/>
        </w:rPr>
        <w:t xml:space="preserve">arcours éducatif de </w:t>
      </w:r>
      <w:r w:rsidRPr="00687CCA">
        <w:rPr>
          <w:rFonts w:cstheme="minorHAnsi"/>
          <w:color w:val="17818E"/>
          <w:sz w:val="28"/>
        </w:rPr>
        <w:t>santé</w:t>
      </w:r>
    </w:p>
    <w:tbl>
      <w:tblPr>
        <w:tblStyle w:val="TableNormal"/>
        <w:tblW w:w="896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5"/>
        <w:gridCol w:w="5670"/>
      </w:tblGrid>
      <w:tr w:rsidR="002F05DC" w:rsidRPr="002E480A" w:rsidTr="002F05DC">
        <w:trPr>
          <w:trHeight w:val="549"/>
        </w:trPr>
        <w:tc>
          <w:tcPr>
            <w:tcW w:w="3295" w:type="dxa"/>
            <w:vAlign w:val="center"/>
          </w:tcPr>
          <w:p w:rsidR="002F05DC" w:rsidRPr="00AB1F45" w:rsidRDefault="002F05DC" w:rsidP="002F05DC">
            <w:pPr>
              <w:rPr>
                <w:b/>
              </w:rPr>
            </w:pPr>
            <w:r w:rsidRPr="002F05DC">
              <w:rPr>
                <w:rFonts w:cs="Times New Roman"/>
                <w:b/>
                <w:szCs w:val="24"/>
                <w:lang w:val="fr-FR"/>
              </w:rPr>
              <w:t>Avoir une pensée critique</w:t>
            </w:r>
          </w:p>
        </w:tc>
        <w:tc>
          <w:tcPr>
            <w:tcW w:w="5670" w:type="dxa"/>
          </w:tcPr>
          <w:p w:rsidR="002F05DC" w:rsidRPr="002F05DC" w:rsidRDefault="002F05DC" w:rsidP="002F05DC">
            <w:pPr>
              <w:pStyle w:val="Corpsdetexte"/>
              <w:spacing w:before="59" w:after="120"/>
              <w:ind w:right="159"/>
              <w:rPr>
                <w:rFonts w:asciiTheme="minorHAnsi" w:hAnsiTheme="minorHAnsi" w:cstheme="minorHAnsi"/>
                <w:lang w:val="fr-FR"/>
              </w:rPr>
            </w:pPr>
            <w:r w:rsidRPr="002F05DC">
              <w:rPr>
                <w:rFonts w:asciiTheme="minorHAnsi" w:hAnsiTheme="minorHAnsi" w:cstheme="minorHAnsi"/>
                <w:lang w:val="fr-FR"/>
              </w:rPr>
              <w:t>L’élève connaît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l’importance d’un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comportement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responsable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vis-à-vis de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l’environnement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et de la santé et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comprend ses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responsabilités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2F05DC">
              <w:rPr>
                <w:rFonts w:asciiTheme="minorHAnsi" w:hAnsiTheme="minorHAnsi" w:cstheme="minorHAnsi"/>
                <w:lang w:val="fr-FR"/>
              </w:rPr>
              <w:t>individuelle et collective.</w:t>
            </w:r>
          </w:p>
        </w:tc>
      </w:tr>
      <w:tr w:rsidR="00AB1F45" w:rsidRPr="002E480A" w:rsidTr="002F05DC">
        <w:trPr>
          <w:trHeight w:val="549"/>
        </w:trPr>
        <w:tc>
          <w:tcPr>
            <w:tcW w:w="3295" w:type="dxa"/>
            <w:vAlign w:val="center"/>
          </w:tcPr>
          <w:p w:rsidR="00AB1F45" w:rsidRPr="00AB1F45" w:rsidRDefault="00AB1F45" w:rsidP="002F05DC">
            <w:pPr>
              <w:rPr>
                <w:rFonts w:cs="Times New Roman"/>
                <w:b/>
                <w:szCs w:val="24"/>
                <w:lang w:val="fr-FR"/>
              </w:rPr>
            </w:pPr>
            <w:r w:rsidRPr="00AB1F45">
              <w:rPr>
                <w:rFonts w:cs="Times New Roman"/>
                <w:b/>
                <w:szCs w:val="24"/>
                <w:lang w:val="fr-FR"/>
              </w:rPr>
              <w:t>Avoir conscience de soi</w:t>
            </w:r>
          </w:p>
          <w:p w:rsidR="00AB1F45" w:rsidRPr="00AB1F45" w:rsidRDefault="00AB1F45" w:rsidP="002F05DC">
            <w:pPr>
              <w:rPr>
                <w:rFonts w:cstheme="minorHAnsi"/>
                <w:lang w:val="fr-FR"/>
              </w:rPr>
            </w:pPr>
            <w:r w:rsidRPr="00AB1F45">
              <w:rPr>
                <w:rFonts w:cs="Times New Roman"/>
                <w:b/>
                <w:szCs w:val="24"/>
                <w:lang w:val="fr-FR"/>
              </w:rPr>
              <w:t>Avoir de l’empathie pour les autres</w:t>
            </w:r>
          </w:p>
        </w:tc>
        <w:tc>
          <w:tcPr>
            <w:tcW w:w="5670" w:type="dxa"/>
          </w:tcPr>
          <w:p w:rsidR="00AB1F45" w:rsidRPr="002E480A" w:rsidRDefault="00AB1F45" w:rsidP="00AB1F45">
            <w:pPr>
              <w:pStyle w:val="Corpsdetexte"/>
              <w:spacing w:before="59" w:after="120"/>
              <w:ind w:right="159"/>
              <w:rPr>
                <w:rFonts w:asciiTheme="minorHAnsi" w:hAnsiTheme="minorHAnsi" w:cstheme="minorHAnsi"/>
                <w:lang w:val="fr-FR"/>
              </w:rPr>
            </w:pPr>
            <w:r w:rsidRPr="00AB1F45">
              <w:rPr>
                <w:rFonts w:asciiTheme="minorHAnsi" w:hAnsiTheme="minorHAnsi" w:cstheme="minorHAnsi"/>
                <w:lang w:val="fr-FR"/>
              </w:rPr>
              <w:t>L’élève sait que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la santé repose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sur des fonctions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biologiques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coordonnées,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susceptibles d’être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perturbées par des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facteurs physiques,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chimiques,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biologiques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et sociaux de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l’environnement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et que certains de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ces facteurs de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risques dépendent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de conduites</w:t>
            </w:r>
            <w:r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AB1F45">
              <w:rPr>
                <w:rFonts w:asciiTheme="minorHAnsi" w:hAnsiTheme="minorHAnsi" w:cstheme="minorHAnsi"/>
                <w:lang w:val="fr-FR"/>
              </w:rPr>
              <w:t>sociales et d</w:t>
            </w:r>
            <w:r>
              <w:rPr>
                <w:rFonts w:asciiTheme="minorHAnsi" w:hAnsiTheme="minorHAnsi" w:cstheme="minorHAnsi"/>
                <w:lang w:val="fr-FR"/>
              </w:rPr>
              <w:t>e choix personnels.</w:t>
            </w:r>
          </w:p>
        </w:tc>
      </w:tr>
    </w:tbl>
    <w:p w:rsidR="00C42DF5" w:rsidRDefault="00C42DF5" w:rsidP="00C02303">
      <w:pPr>
        <w:spacing w:line="240" w:lineRule="auto"/>
      </w:pPr>
    </w:p>
    <w:p w:rsidR="00C02303" w:rsidRPr="00A77F9F" w:rsidRDefault="009C5FA4" w:rsidP="00C02303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  <w:szCs w:val="22"/>
        </w:rPr>
      </w:pPr>
      <w:r w:rsidRPr="00A77F9F">
        <w:rPr>
          <w:b/>
          <w:sz w:val="22"/>
          <w:szCs w:val="22"/>
        </w:rPr>
        <w:t>Mise en situation et objectif</w:t>
      </w:r>
    </w:p>
    <w:p w:rsidR="00C02303" w:rsidRPr="00A77F9F" w:rsidRDefault="00C02303" w:rsidP="00C02303">
      <w:pPr>
        <w:spacing w:line="240" w:lineRule="auto"/>
        <w:jc w:val="both"/>
        <w:rPr>
          <w:sz w:val="22"/>
          <w:szCs w:val="22"/>
        </w:rPr>
      </w:pPr>
    </w:p>
    <w:p w:rsidR="00976659" w:rsidRPr="00976659" w:rsidRDefault="00A1299A" w:rsidP="00976659">
      <w:pPr>
        <w:spacing w:after="120" w:line="240" w:lineRule="auto"/>
        <w:jc w:val="both"/>
        <w:rPr>
          <w:sz w:val="22"/>
        </w:rPr>
      </w:pPr>
      <w:r w:rsidRPr="00A1299A">
        <w:rPr>
          <w:sz w:val="22"/>
        </w:rPr>
        <w:t xml:space="preserve">L’obésité et le diabète sont deux maladies liées. L’obésité entraine très souvent un diabète, c’est-à-dire un excès de glucose dans le sang. Dans le cadre de la prise en charge médicale du diabète, un médicament, appelé </w:t>
      </w:r>
      <w:proofErr w:type="spellStart"/>
      <w:r w:rsidRPr="00A1299A">
        <w:rPr>
          <w:sz w:val="22"/>
        </w:rPr>
        <w:t>sémaglutide</w:t>
      </w:r>
      <w:proofErr w:type="spellEnd"/>
      <w:r w:rsidRPr="00A1299A">
        <w:rPr>
          <w:sz w:val="22"/>
        </w:rPr>
        <w:t>, rencontre un grand succès car il permet à la fois de faire baisser le taux de glucose dans le sang (la glycémie) et de perdre du poids</w:t>
      </w:r>
      <w:r w:rsidR="00976659" w:rsidRPr="00976659">
        <w:rPr>
          <w:sz w:val="22"/>
        </w:rPr>
        <w:t>.</w:t>
      </w:r>
    </w:p>
    <w:p w:rsidR="009C5FA4" w:rsidRPr="00A77F9F" w:rsidRDefault="00492A1E" w:rsidP="008F1B37">
      <w:pPr>
        <w:pStyle w:val="Paragraphedeliste"/>
        <w:tabs>
          <w:tab w:val="left" w:pos="5670"/>
        </w:tabs>
        <w:spacing w:before="120" w:after="120" w:line="240" w:lineRule="auto"/>
        <w:ind w:left="0"/>
        <w:contextualSpacing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</w:t>
      </w:r>
      <w:r w:rsidR="00A1299A" w:rsidRPr="00A1299A">
        <w:rPr>
          <w:b/>
          <w:sz w:val="22"/>
          <w:szCs w:val="22"/>
        </w:rPr>
        <w:t xml:space="preserve">n cherche à comprendre par quels mécanismes le </w:t>
      </w:r>
      <w:proofErr w:type="spellStart"/>
      <w:r w:rsidR="00A1299A" w:rsidRPr="00A1299A">
        <w:rPr>
          <w:b/>
          <w:sz w:val="22"/>
          <w:szCs w:val="22"/>
        </w:rPr>
        <w:t>sémaglutide</w:t>
      </w:r>
      <w:proofErr w:type="spellEnd"/>
      <w:r w:rsidR="00A1299A" w:rsidRPr="00A1299A">
        <w:rPr>
          <w:b/>
          <w:sz w:val="22"/>
          <w:szCs w:val="22"/>
        </w:rPr>
        <w:t xml:space="preserve"> fait baisser </w:t>
      </w:r>
      <w:r w:rsidR="00A1299A">
        <w:rPr>
          <w:b/>
          <w:sz w:val="22"/>
          <w:szCs w:val="22"/>
        </w:rPr>
        <w:t>le taux de glucose sanguin</w:t>
      </w:r>
      <w:r>
        <w:rPr>
          <w:b/>
          <w:sz w:val="22"/>
          <w:szCs w:val="22"/>
        </w:rPr>
        <w:t xml:space="preserve"> </w:t>
      </w:r>
      <w:r w:rsidR="003E41C5" w:rsidRPr="00492A1E">
        <w:rPr>
          <w:b/>
          <w:sz w:val="22"/>
          <w:szCs w:val="22"/>
        </w:rPr>
        <w:t>et</w:t>
      </w:r>
      <w:r w:rsidRPr="00492A1E">
        <w:rPr>
          <w:b/>
          <w:sz w:val="22"/>
          <w:szCs w:val="22"/>
        </w:rPr>
        <w:t xml:space="preserve"> à argumenter sur </w:t>
      </w:r>
      <w:r>
        <w:rPr>
          <w:b/>
          <w:sz w:val="22"/>
          <w:szCs w:val="22"/>
        </w:rPr>
        <w:t>les</w:t>
      </w:r>
      <w:r w:rsidR="003E41C5">
        <w:rPr>
          <w:b/>
          <w:sz w:val="22"/>
          <w:szCs w:val="22"/>
        </w:rPr>
        <w:t xml:space="preserve"> </w:t>
      </w:r>
      <w:r w:rsidR="00B17704">
        <w:rPr>
          <w:b/>
          <w:sz w:val="22"/>
          <w:szCs w:val="22"/>
        </w:rPr>
        <w:t xml:space="preserve">conséquences du mésusage </w:t>
      </w:r>
      <w:r w:rsidR="003E41C5" w:rsidRPr="00492A1E">
        <w:rPr>
          <w:b/>
          <w:sz w:val="22"/>
          <w:szCs w:val="22"/>
        </w:rPr>
        <w:t>de ce</w:t>
      </w:r>
      <w:r w:rsidR="003E41C5">
        <w:rPr>
          <w:b/>
          <w:sz w:val="22"/>
          <w:szCs w:val="22"/>
        </w:rPr>
        <w:t xml:space="preserve"> </w:t>
      </w:r>
      <w:r w:rsidR="00B17704">
        <w:rPr>
          <w:b/>
          <w:sz w:val="22"/>
          <w:szCs w:val="22"/>
        </w:rPr>
        <w:t>médicament.</w:t>
      </w:r>
    </w:p>
    <w:p w:rsidR="00725DF6" w:rsidRDefault="00725DF6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02303" w:rsidRPr="00A77F9F" w:rsidRDefault="00615EC4" w:rsidP="00B4449C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Ressources</w:t>
      </w:r>
    </w:p>
    <w:p w:rsidR="00B4449C" w:rsidRDefault="00B4449C" w:rsidP="00C02303">
      <w:pPr>
        <w:spacing w:line="240" w:lineRule="auto"/>
        <w:rPr>
          <w:b/>
          <w:sz w:val="22"/>
        </w:rPr>
      </w:pPr>
    </w:p>
    <w:p w:rsidR="00B4449C" w:rsidRPr="00DB14A5" w:rsidRDefault="00B4449C" w:rsidP="00C02303">
      <w:pPr>
        <w:spacing w:line="240" w:lineRule="auto"/>
        <w:rPr>
          <w:sz w:val="2"/>
        </w:rPr>
      </w:pPr>
    </w:p>
    <w:tbl>
      <w:tblPr>
        <w:tblStyle w:val="Grilledutableau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C02303" w:rsidRPr="000F53A6" w:rsidTr="00985807">
        <w:trPr>
          <w:trHeight w:val="58"/>
        </w:trPr>
        <w:tc>
          <w:tcPr>
            <w:tcW w:w="9606" w:type="dxa"/>
            <w:tcBorders>
              <w:top w:val="single" w:sz="4" w:space="0" w:color="auto"/>
              <w:bottom w:val="single" w:sz="4" w:space="0" w:color="auto"/>
            </w:tcBorders>
          </w:tcPr>
          <w:p w:rsidR="00B8656F" w:rsidRDefault="00B8656F" w:rsidP="00B8656F">
            <w:p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A77F9F">
              <w:rPr>
                <w:b/>
                <w:sz w:val="22"/>
                <w:szCs w:val="22"/>
              </w:rPr>
              <w:t>Document</w:t>
            </w:r>
            <w:r w:rsidRPr="00A77F9F">
              <w:rPr>
                <w:sz w:val="22"/>
                <w:szCs w:val="22"/>
              </w:rPr>
              <w:t xml:space="preserve"> </w:t>
            </w:r>
            <w:r w:rsidRPr="00A77F9F">
              <w:rPr>
                <w:b/>
                <w:sz w:val="22"/>
                <w:szCs w:val="22"/>
              </w:rPr>
              <w:t xml:space="preserve">1 </w:t>
            </w:r>
            <w:r w:rsidRPr="00A77F9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615EC4">
              <w:rPr>
                <w:rFonts w:cs="Calibri"/>
                <w:sz w:val="22"/>
                <w:szCs w:val="22"/>
              </w:rPr>
              <w:t>Modèle simplifié de la régulation hormonale de la glycémie</w:t>
            </w:r>
          </w:p>
          <w:p w:rsidR="00B8656F" w:rsidRPr="00492A1E" w:rsidRDefault="00B8656F" w:rsidP="00B8656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242D3">
              <w:rPr>
                <w:sz w:val="20"/>
                <w:szCs w:val="20"/>
              </w:rPr>
              <w:t xml:space="preserve">Source : </w:t>
            </w:r>
            <w:hyperlink r:id="rId7" w:history="1">
              <w:r w:rsidRPr="00E242D3">
                <w:rPr>
                  <w:rStyle w:val="Lienhypertexte"/>
                  <w:sz w:val="20"/>
                  <w:szCs w:val="20"/>
                </w:rPr>
                <w:t xml:space="preserve">Müller </w:t>
              </w:r>
              <w:r w:rsidRPr="00E242D3">
                <w:rPr>
                  <w:rStyle w:val="Lienhypertexte"/>
                  <w:i/>
                  <w:iCs/>
                  <w:sz w:val="20"/>
                  <w:szCs w:val="20"/>
                </w:rPr>
                <w:t>et al</w:t>
              </w:r>
              <w:r w:rsidRPr="00E242D3">
                <w:rPr>
                  <w:rStyle w:val="Lienhypertexte"/>
                  <w:sz w:val="20"/>
                  <w:szCs w:val="20"/>
                </w:rPr>
                <w:t xml:space="preserve">., </w:t>
              </w:r>
              <w:r w:rsidRPr="00492A1E">
                <w:rPr>
                  <w:rStyle w:val="Lienhypertexte"/>
                  <w:sz w:val="20"/>
                  <w:szCs w:val="20"/>
                </w:rPr>
                <w:t xml:space="preserve">Glucagon-like peptide 1 (GLP-1), </w:t>
              </w:r>
              <w:proofErr w:type="spellStart"/>
              <w:r w:rsidRPr="00492A1E">
                <w:rPr>
                  <w:rStyle w:val="Lienhypertexte"/>
                  <w:sz w:val="20"/>
                  <w:szCs w:val="20"/>
                </w:rPr>
                <w:t>Molecular</w:t>
              </w:r>
              <w:proofErr w:type="spellEnd"/>
              <w:r w:rsidRPr="00492A1E">
                <w:rPr>
                  <w:rStyle w:val="Lienhypertexte"/>
                  <w:sz w:val="20"/>
                  <w:szCs w:val="20"/>
                </w:rPr>
                <w:t xml:space="preserve"> </w:t>
              </w:r>
              <w:proofErr w:type="spellStart"/>
              <w:r w:rsidRPr="00492A1E">
                <w:rPr>
                  <w:rStyle w:val="Lienhypertexte"/>
                  <w:sz w:val="20"/>
                  <w:szCs w:val="20"/>
                </w:rPr>
                <w:t>Metabolism</w:t>
              </w:r>
              <w:proofErr w:type="spellEnd"/>
              <w:r w:rsidRPr="00492A1E">
                <w:rPr>
                  <w:rStyle w:val="Lienhypertexte"/>
                  <w:sz w:val="20"/>
                  <w:szCs w:val="20"/>
                </w:rPr>
                <w:t xml:space="preserve"> </w:t>
              </w:r>
              <w:proofErr w:type="gramStart"/>
              <w:r w:rsidRPr="00492A1E">
                <w:rPr>
                  <w:rStyle w:val="Lienhypertexte"/>
                  <w:sz w:val="20"/>
                  <w:szCs w:val="20"/>
                </w:rPr>
                <w:t>30:</w:t>
              </w:r>
              <w:proofErr w:type="gramEnd"/>
              <w:r w:rsidRPr="00492A1E">
                <w:rPr>
                  <w:rStyle w:val="Lienhypertexte"/>
                  <w:sz w:val="20"/>
                  <w:szCs w:val="20"/>
                </w:rPr>
                <w:t>72-130 (2019)</w:t>
              </w:r>
            </w:hyperlink>
          </w:p>
          <w:p w:rsidR="00B8656F" w:rsidRDefault="00B8656F" w:rsidP="00B8656F">
            <w:pPr>
              <w:jc w:val="both"/>
              <w:rPr>
                <w:rStyle w:val="Lienhypertexte"/>
                <w:sz w:val="20"/>
                <w:szCs w:val="20"/>
              </w:rPr>
            </w:pPr>
            <w:r w:rsidRPr="00E242D3">
              <w:rPr>
                <w:sz w:val="20"/>
                <w:szCs w:val="20"/>
              </w:rPr>
              <w:t xml:space="preserve">Figure construite avec </w:t>
            </w:r>
            <w:hyperlink r:id="rId8" w:history="1">
              <w:proofErr w:type="spellStart"/>
              <w:r w:rsidRPr="00E242D3">
                <w:rPr>
                  <w:rStyle w:val="Lienhypertexte"/>
                  <w:sz w:val="20"/>
                  <w:szCs w:val="20"/>
                </w:rPr>
                <w:t>BioRender</w:t>
              </w:r>
              <w:proofErr w:type="spellEnd"/>
            </w:hyperlink>
          </w:p>
          <w:p w:rsidR="00B8656F" w:rsidRDefault="00B8656F" w:rsidP="00B8656F">
            <w:pPr>
              <w:jc w:val="both"/>
              <w:rPr>
                <w:sz w:val="22"/>
              </w:rPr>
            </w:pPr>
          </w:p>
          <w:p w:rsidR="00615EC4" w:rsidRPr="00615EC4" w:rsidRDefault="00615EC4" w:rsidP="00B8656F">
            <w:pPr>
              <w:jc w:val="both"/>
              <w:rPr>
                <w:sz w:val="22"/>
              </w:rPr>
            </w:pPr>
            <w:r w:rsidRPr="00615EC4">
              <w:rPr>
                <w:sz w:val="22"/>
              </w:rPr>
              <w:t xml:space="preserve">La glycémie est régulée par des hormones produites par le pancréas : </w:t>
            </w:r>
          </w:p>
          <w:p w:rsidR="00615EC4" w:rsidRPr="00615EC4" w:rsidRDefault="00615EC4" w:rsidP="00615EC4">
            <w:pPr>
              <w:pStyle w:val="Paragraphedeliste"/>
              <w:numPr>
                <w:ilvl w:val="0"/>
                <w:numId w:val="18"/>
              </w:numPr>
              <w:jc w:val="both"/>
              <w:rPr>
                <w:sz w:val="22"/>
              </w:rPr>
            </w:pPr>
            <w:proofErr w:type="gramStart"/>
            <w:r w:rsidRPr="00615EC4">
              <w:rPr>
                <w:sz w:val="22"/>
              </w:rPr>
              <w:t>l'insuline</w:t>
            </w:r>
            <w:proofErr w:type="gramEnd"/>
            <w:r w:rsidRPr="00615EC4">
              <w:rPr>
                <w:sz w:val="22"/>
              </w:rPr>
              <w:t xml:space="preserve">, produite par les cellules </w:t>
            </w:r>
            <w:r w:rsidRPr="00615EC4">
              <w:rPr>
                <w:rFonts w:ascii="Symbol" w:hAnsi="Symbol"/>
                <w:sz w:val="22"/>
              </w:rPr>
              <w:t></w:t>
            </w:r>
            <w:r w:rsidRPr="00615EC4">
              <w:rPr>
                <w:sz w:val="22"/>
              </w:rPr>
              <w:t>, est hypoglycémiante (elle fait baisser la quantité de glucose dans le sang) ;</w:t>
            </w:r>
          </w:p>
          <w:p w:rsidR="00615EC4" w:rsidRPr="00615EC4" w:rsidRDefault="00615EC4" w:rsidP="00615EC4">
            <w:pPr>
              <w:pStyle w:val="Paragraphedeliste"/>
              <w:numPr>
                <w:ilvl w:val="0"/>
                <w:numId w:val="18"/>
              </w:numPr>
              <w:jc w:val="both"/>
              <w:rPr>
                <w:sz w:val="22"/>
              </w:rPr>
            </w:pPr>
            <w:proofErr w:type="gramStart"/>
            <w:r w:rsidRPr="00615EC4">
              <w:rPr>
                <w:sz w:val="22"/>
              </w:rPr>
              <w:t>le</w:t>
            </w:r>
            <w:proofErr w:type="gramEnd"/>
            <w:r w:rsidRPr="00615EC4">
              <w:rPr>
                <w:sz w:val="22"/>
              </w:rPr>
              <w:t xml:space="preserve"> glucagon, produit par les cellules </w:t>
            </w:r>
            <w:r w:rsidRPr="00615EC4">
              <w:rPr>
                <w:rFonts w:ascii="Symbol" w:hAnsi="Symbol"/>
                <w:sz w:val="22"/>
              </w:rPr>
              <w:t></w:t>
            </w:r>
            <w:r w:rsidRPr="00615EC4">
              <w:rPr>
                <w:sz w:val="22"/>
              </w:rPr>
              <w:t>, est hyperglycémiant (il fait monter la quantité de glucose dans le sang).</w:t>
            </w:r>
          </w:p>
          <w:p w:rsidR="00615EC4" w:rsidRPr="00615EC4" w:rsidRDefault="00615EC4" w:rsidP="00615EC4">
            <w:pPr>
              <w:jc w:val="both"/>
              <w:rPr>
                <w:sz w:val="22"/>
              </w:rPr>
            </w:pPr>
          </w:p>
          <w:p w:rsidR="00615EC4" w:rsidRPr="00615EC4" w:rsidRDefault="00615EC4" w:rsidP="00615EC4">
            <w:pPr>
              <w:jc w:val="both"/>
              <w:rPr>
                <w:sz w:val="22"/>
              </w:rPr>
            </w:pPr>
            <w:r w:rsidRPr="00615EC4">
              <w:rPr>
                <w:sz w:val="22"/>
              </w:rPr>
              <w:t>L’insuline agit notamment sur les cellules du foie et muscle. Quand elle se fixe à son récepteur, elle entraine le stockage du glucose sous forme de glycogène en stimulant l’activité de l’enzyme glycogène synthase.</w:t>
            </w:r>
          </w:p>
          <w:p w:rsidR="00615EC4" w:rsidRPr="00615EC4" w:rsidRDefault="00615EC4" w:rsidP="00615EC4">
            <w:pPr>
              <w:jc w:val="both"/>
              <w:rPr>
                <w:sz w:val="22"/>
              </w:rPr>
            </w:pPr>
            <w:r w:rsidRPr="00615EC4">
              <w:rPr>
                <w:sz w:val="22"/>
              </w:rPr>
              <w:t>À l’inverse, le glucagon en se fixant sur son récepteur à la surface des cellules du foie provoque le déstockage du glucose, en stimulant l’activité de l’enzyme glycogène phosphorylase.</w:t>
            </w:r>
          </w:p>
          <w:p w:rsidR="00615EC4" w:rsidRPr="00615EC4" w:rsidRDefault="00615EC4" w:rsidP="00615EC4">
            <w:pPr>
              <w:jc w:val="both"/>
              <w:rPr>
                <w:sz w:val="22"/>
              </w:rPr>
            </w:pPr>
          </w:p>
          <w:p w:rsidR="00615EC4" w:rsidRDefault="00615EC4" w:rsidP="00615EC4">
            <w:pPr>
              <w:jc w:val="both"/>
              <w:rPr>
                <w:sz w:val="22"/>
              </w:rPr>
            </w:pPr>
            <w:r w:rsidRPr="00615EC4">
              <w:rPr>
                <w:sz w:val="22"/>
              </w:rPr>
              <w:t xml:space="preserve">La libération d’insuline et de glucagon dans le sang est </w:t>
            </w:r>
            <w:r w:rsidR="00985807">
              <w:rPr>
                <w:sz w:val="22"/>
              </w:rPr>
              <w:t xml:space="preserve">elle-même </w:t>
            </w:r>
            <w:r w:rsidRPr="00615EC4">
              <w:rPr>
                <w:sz w:val="22"/>
              </w:rPr>
              <w:t xml:space="preserve">contrôlée par une autre hormone, GLP1. GLP1 est produite </w:t>
            </w:r>
            <w:r>
              <w:rPr>
                <w:sz w:val="22"/>
              </w:rPr>
              <w:t xml:space="preserve">et libérée dans le sang </w:t>
            </w:r>
            <w:r w:rsidRPr="00615EC4">
              <w:rPr>
                <w:sz w:val="22"/>
              </w:rPr>
              <w:t>par les cellules de l’intestin en réponse à l’arrivée d’aliments.</w:t>
            </w:r>
            <w:r>
              <w:rPr>
                <w:sz w:val="22"/>
              </w:rPr>
              <w:t xml:space="preserve"> GLP1 a deux actions : </w:t>
            </w:r>
            <w:r w:rsidR="00761CEB">
              <w:rPr>
                <w:sz w:val="22"/>
              </w:rPr>
              <w:t xml:space="preserve">(1) </w:t>
            </w:r>
            <w:r>
              <w:rPr>
                <w:sz w:val="22"/>
              </w:rPr>
              <w:t xml:space="preserve">stimuler la libération d’insuline par les cellules </w:t>
            </w:r>
            <w:r w:rsidRPr="00985807">
              <w:rPr>
                <w:rFonts w:ascii="Symbol" w:hAnsi="Symbol"/>
                <w:sz w:val="22"/>
              </w:rPr>
              <w:t></w:t>
            </w:r>
            <w:r>
              <w:rPr>
                <w:sz w:val="22"/>
              </w:rPr>
              <w:t xml:space="preserve"> et </w:t>
            </w:r>
            <w:r w:rsidR="00761CEB">
              <w:rPr>
                <w:sz w:val="22"/>
              </w:rPr>
              <w:t xml:space="preserve">(2) </w:t>
            </w:r>
            <w:r>
              <w:rPr>
                <w:sz w:val="22"/>
              </w:rPr>
              <w:t xml:space="preserve">inhiber la libération de glucagon par les cellules </w:t>
            </w:r>
            <w:r w:rsidRPr="00985807">
              <w:rPr>
                <w:rFonts w:ascii="Symbol" w:hAnsi="Symbol"/>
                <w:sz w:val="22"/>
              </w:rPr>
              <w:t></w:t>
            </w:r>
            <w:r>
              <w:rPr>
                <w:sz w:val="22"/>
              </w:rPr>
              <w:t xml:space="preserve"> du pancréas.</w:t>
            </w:r>
          </w:p>
          <w:p w:rsidR="00985807" w:rsidRPr="00B8656F" w:rsidRDefault="00615EC4" w:rsidP="00B8656F">
            <w:pPr>
              <w:jc w:val="both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27C14E" wp14:editId="212FA6A7">
                  <wp:extent cx="5908070" cy="493744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674" cy="49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49C" w:rsidRPr="00A77F9F" w:rsidRDefault="00B4449C">
      <w:pPr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5807" w:rsidTr="00985807">
        <w:tc>
          <w:tcPr>
            <w:tcW w:w="9212" w:type="dxa"/>
          </w:tcPr>
          <w:p w:rsidR="00B8656F" w:rsidRDefault="00B8656F" w:rsidP="00B8656F">
            <w:p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A77F9F">
              <w:rPr>
                <w:b/>
                <w:sz w:val="22"/>
                <w:szCs w:val="22"/>
              </w:rPr>
              <w:t>Document</w:t>
            </w:r>
            <w:r w:rsidRPr="00A77F9F"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</w:t>
            </w:r>
            <w:r w:rsidRPr="00A77F9F">
              <w:rPr>
                <w:b/>
                <w:sz w:val="22"/>
                <w:szCs w:val="22"/>
              </w:rPr>
              <w:t xml:space="preserve"> </w:t>
            </w:r>
            <w:r w:rsidRPr="00A77F9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Liste des structures moléculaires mise à disposition</w:t>
            </w:r>
          </w:p>
          <w:p w:rsidR="00985807" w:rsidRDefault="00985807" w:rsidP="00985807">
            <w:pPr>
              <w:rPr>
                <w:sz w:val="22"/>
              </w:rPr>
            </w:pPr>
          </w:p>
          <w:p w:rsidR="00985807" w:rsidRPr="00985807" w:rsidRDefault="00985807" w:rsidP="00985807">
            <w:pPr>
              <w:pStyle w:val="Paragraphedeliste"/>
              <w:numPr>
                <w:ilvl w:val="0"/>
                <w:numId w:val="18"/>
              </w:numPr>
              <w:rPr>
                <w:sz w:val="22"/>
              </w:rPr>
            </w:pPr>
            <w:r w:rsidRPr="00985807">
              <w:rPr>
                <w:sz w:val="22"/>
              </w:rPr>
              <w:t>Transporteur du glucose.pdb</w:t>
            </w:r>
          </w:p>
          <w:p w:rsidR="00985807" w:rsidRPr="00985807" w:rsidRDefault="00985807" w:rsidP="00985807">
            <w:pPr>
              <w:pStyle w:val="Paragraphedeliste"/>
              <w:numPr>
                <w:ilvl w:val="0"/>
                <w:numId w:val="18"/>
              </w:numPr>
              <w:rPr>
                <w:sz w:val="22"/>
              </w:rPr>
            </w:pPr>
            <w:r w:rsidRPr="00985807">
              <w:rPr>
                <w:sz w:val="22"/>
              </w:rPr>
              <w:t>Glycogène synthase.pdb</w:t>
            </w:r>
          </w:p>
          <w:p w:rsidR="00985807" w:rsidRPr="00985807" w:rsidRDefault="00985807" w:rsidP="00985807">
            <w:pPr>
              <w:pStyle w:val="Paragraphedeliste"/>
              <w:numPr>
                <w:ilvl w:val="0"/>
                <w:numId w:val="18"/>
              </w:numPr>
              <w:rPr>
                <w:sz w:val="22"/>
              </w:rPr>
            </w:pPr>
            <w:r w:rsidRPr="00985807">
              <w:rPr>
                <w:sz w:val="22"/>
              </w:rPr>
              <w:t>Glycogène phosphorylase.pdb</w:t>
            </w:r>
          </w:p>
          <w:p w:rsidR="00985807" w:rsidRPr="00985807" w:rsidRDefault="00985807" w:rsidP="00985807">
            <w:pPr>
              <w:pStyle w:val="Paragraphedeliste"/>
              <w:numPr>
                <w:ilvl w:val="0"/>
                <w:numId w:val="18"/>
              </w:numPr>
              <w:rPr>
                <w:sz w:val="22"/>
              </w:rPr>
            </w:pPr>
            <w:r w:rsidRPr="00985807">
              <w:rPr>
                <w:sz w:val="22"/>
              </w:rPr>
              <w:t>Récepteur de GLP1.pdb</w:t>
            </w:r>
          </w:p>
          <w:p w:rsidR="00985807" w:rsidRPr="00985807" w:rsidRDefault="00985807" w:rsidP="00985807">
            <w:pPr>
              <w:pStyle w:val="Paragraphedeliste"/>
              <w:numPr>
                <w:ilvl w:val="0"/>
                <w:numId w:val="18"/>
              </w:numPr>
              <w:rPr>
                <w:sz w:val="22"/>
              </w:rPr>
            </w:pPr>
            <w:r w:rsidRPr="00985807">
              <w:rPr>
                <w:sz w:val="22"/>
              </w:rPr>
              <w:t>Récepteur de l'insuline.pdb</w:t>
            </w:r>
          </w:p>
          <w:p w:rsidR="00985807" w:rsidRPr="00985807" w:rsidRDefault="00985807" w:rsidP="00985807">
            <w:pPr>
              <w:pStyle w:val="Paragraphedeliste"/>
              <w:numPr>
                <w:ilvl w:val="0"/>
                <w:numId w:val="18"/>
              </w:numPr>
              <w:rPr>
                <w:sz w:val="22"/>
              </w:rPr>
            </w:pPr>
            <w:r w:rsidRPr="00985807">
              <w:rPr>
                <w:sz w:val="22"/>
              </w:rPr>
              <w:t>Récepteur du glucagon.pdb</w:t>
            </w:r>
          </w:p>
          <w:p w:rsidR="00985807" w:rsidRDefault="00985807" w:rsidP="00985807">
            <w:pPr>
              <w:rPr>
                <w:sz w:val="22"/>
              </w:rPr>
            </w:pPr>
          </w:p>
          <w:p w:rsidR="00985807" w:rsidRDefault="00E341B7" w:rsidP="00985807">
            <w:pPr>
              <w:rPr>
                <w:sz w:val="22"/>
              </w:rPr>
            </w:pPr>
            <w:r>
              <w:rPr>
                <w:sz w:val="22"/>
              </w:rPr>
              <w:t xml:space="preserve">On considère que les modèles moléculaires correspondent aux structures des molécules </w:t>
            </w:r>
            <w:r w:rsidRPr="00E341B7">
              <w:rPr>
                <w:sz w:val="22"/>
              </w:rPr>
              <w:t xml:space="preserve">chez un individu </w:t>
            </w:r>
            <w:r w:rsidRPr="00EE6313">
              <w:rPr>
                <w:b/>
                <w:bCs/>
                <w:sz w:val="22"/>
              </w:rPr>
              <w:t xml:space="preserve">ayant pris du </w:t>
            </w:r>
            <w:proofErr w:type="spellStart"/>
            <w:r w:rsidRPr="00EE6313">
              <w:rPr>
                <w:b/>
                <w:bCs/>
                <w:sz w:val="22"/>
              </w:rPr>
              <w:t>sémaglutide</w:t>
            </w:r>
            <w:proofErr w:type="spellEnd"/>
            <w:r>
              <w:rPr>
                <w:sz w:val="22"/>
              </w:rPr>
              <w:t>.</w:t>
            </w:r>
          </w:p>
          <w:p w:rsidR="00E341B7" w:rsidRDefault="00E341B7" w:rsidP="00985807">
            <w:pPr>
              <w:rPr>
                <w:sz w:val="22"/>
              </w:rPr>
            </w:pPr>
          </w:p>
        </w:tc>
      </w:tr>
    </w:tbl>
    <w:p w:rsidR="00E341B7" w:rsidRDefault="00E341B7" w:rsidP="00985807">
      <w:pPr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0BD5" w:rsidTr="009D5D93">
        <w:trPr>
          <w:trHeight w:val="4155"/>
        </w:trPr>
        <w:tc>
          <w:tcPr>
            <w:tcW w:w="9212" w:type="dxa"/>
          </w:tcPr>
          <w:p w:rsidR="009D5D93" w:rsidRDefault="009D5D93" w:rsidP="00AA0BD5">
            <w:pPr>
              <w:rPr>
                <w:b/>
                <w:sz w:val="22"/>
              </w:rPr>
            </w:pPr>
          </w:p>
          <w:p w:rsidR="00B8656F" w:rsidRDefault="00B8656F" w:rsidP="00B8656F">
            <w:p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A77F9F">
              <w:rPr>
                <w:b/>
                <w:sz w:val="22"/>
                <w:szCs w:val="22"/>
              </w:rPr>
              <w:t>Document</w:t>
            </w:r>
            <w:r w:rsidRPr="00A77F9F"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3</w:t>
            </w:r>
            <w:r w:rsidRPr="00A77F9F">
              <w:rPr>
                <w:b/>
                <w:sz w:val="22"/>
                <w:szCs w:val="22"/>
              </w:rPr>
              <w:t xml:space="preserve"> </w:t>
            </w:r>
            <w:r w:rsidRPr="00A77F9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Extraits d’un</w:t>
            </w:r>
            <w:r w:rsidR="00414BBA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 a</w:t>
            </w:r>
            <w:r>
              <w:rPr>
                <w:rFonts w:cs="Calibri"/>
                <w:sz w:val="22"/>
                <w:szCs w:val="22"/>
              </w:rPr>
              <w:t>lerte de l’Agence Nationale de la Sécurité du Médicament et des produits de santé (ANSM)</w:t>
            </w:r>
            <w:r w:rsidR="00414BBA">
              <w:rPr>
                <w:rFonts w:cs="Calibri"/>
                <w:sz w:val="22"/>
                <w:szCs w:val="22"/>
              </w:rPr>
              <w:t xml:space="preserve"> – 1/03/2023</w:t>
            </w:r>
          </w:p>
          <w:p w:rsidR="00B8656F" w:rsidRPr="00AA0BD5" w:rsidRDefault="00B8656F" w:rsidP="00B8656F">
            <w:pPr>
              <w:rPr>
                <w:sz w:val="20"/>
              </w:rPr>
            </w:pPr>
            <w:r w:rsidRPr="00AA0BD5">
              <w:rPr>
                <w:sz w:val="20"/>
              </w:rPr>
              <w:t xml:space="preserve">Source : </w:t>
            </w:r>
            <w:hyperlink r:id="rId10" w:history="1">
              <w:r w:rsidRPr="00C54B1A">
                <w:rPr>
                  <w:rStyle w:val="Lienhypertexte"/>
                  <w:sz w:val="20"/>
                </w:rPr>
                <w:t>https://ansm.sante.fr/actualites/ozempic-semaglutide-un-medicament-a-utiliser-uniquement-dans-le-traitement-du-diabete-de-type-2</w:t>
              </w:r>
            </w:hyperlink>
            <w:r>
              <w:rPr>
                <w:sz w:val="20"/>
              </w:rPr>
              <w:t xml:space="preserve"> </w:t>
            </w:r>
          </w:p>
          <w:p w:rsidR="00B8656F" w:rsidRDefault="00B8656F" w:rsidP="00AA0BD5">
            <w:pPr>
              <w:rPr>
                <w:b/>
                <w:sz w:val="22"/>
              </w:rPr>
            </w:pPr>
          </w:p>
          <w:p w:rsidR="00AA0BD5" w:rsidRPr="00AA0BD5" w:rsidRDefault="00AA0BD5" w:rsidP="00AA0BD5">
            <w:pPr>
              <w:rPr>
                <w:b/>
                <w:sz w:val="22"/>
              </w:rPr>
            </w:pPr>
            <w:r w:rsidRPr="00AA0BD5">
              <w:rPr>
                <w:b/>
                <w:sz w:val="22"/>
              </w:rPr>
              <w:t xml:space="preserve">L’ANSM et l'Assurance Maladie rappellent que l’utilisation du </w:t>
            </w:r>
            <w:proofErr w:type="spellStart"/>
            <w:r w:rsidRPr="00AA0BD5">
              <w:rPr>
                <w:b/>
                <w:sz w:val="22"/>
              </w:rPr>
              <w:t>sémaglutide</w:t>
            </w:r>
            <w:proofErr w:type="spellEnd"/>
            <w:r w:rsidRPr="00AA0BD5">
              <w:rPr>
                <w:b/>
                <w:sz w:val="22"/>
              </w:rPr>
              <w:t xml:space="preserve"> doit être réservée au traitement du diabète de type 2 insuffisamment contrôlé. Une surveillance renforcée a été mise en place pour s’assurer que les prescriptions respectent ce cadre d’utilisation.</w:t>
            </w:r>
          </w:p>
          <w:p w:rsidR="00AA0BD5" w:rsidRPr="00AA0BD5" w:rsidRDefault="00AA0BD5" w:rsidP="00AA0BD5">
            <w:pPr>
              <w:rPr>
                <w:sz w:val="22"/>
              </w:rPr>
            </w:pPr>
            <w:r>
              <w:rPr>
                <w:sz w:val="22"/>
              </w:rPr>
              <w:t xml:space="preserve">Le </w:t>
            </w:r>
            <w:proofErr w:type="spellStart"/>
            <w:r>
              <w:rPr>
                <w:sz w:val="22"/>
              </w:rPr>
              <w:t>sémaglutide</w:t>
            </w:r>
            <w:proofErr w:type="spellEnd"/>
            <w:r w:rsidRPr="00AA0BD5">
              <w:rPr>
                <w:sz w:val="22"/>
              </w:rPr>
              <w:t xml:space="preserve"> est un médicament indiqué dans le diabète de type 2 insuffisamment contrôlé disponible uniquement sur ordonnance. Des remontées de terrain font état d’un usage détourné chez des personnes non diabétiques dans un objectif de perte de poids.</w:t>
            </w:r>
          </w:p>
          <w:p w:rsidR="00AA0BD5" w:rsidRPr="00AA0BD5" w:rsidRDefault="00AA0BD5" w:rsidP="00AA0BD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0BD5">
              <w:rPr>
                <w:sz w:val="22"/>
                <w:szCs w:val="22"/>
              </w:rPr>
              <w:t>Nous rappelons que :</w:t>
            </w:r>
          </w:p>
          <w:p w:rsidR="00AA0BD5" w:rsidRPr="00AA0BD5" w:rsidRDefault="00AA0BD5" w:rsidP="00AA0BD5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l</w:t>
            </w:r>
            <w:r w:rsidRPr="00AA0BD5">
              <w:rPr>
                <w:sz w:val="22"/>
                <w:szCs w:val="22"/>
              </w:rPr>
              <w:t>e</w:t>
            </w:r>
            <w:proofErr w:type="gramEnd"/>
            <w:r w:rsidRPr="00AA0BD5">
              <w:rPr>
                <w:sz w:val="22"/>
                <w:szCs w:val="22"/>
              </w:rPr>
              <w:t xml:space="preserve"> </w:t>
            </w:r>
            <w:proofErr w:type="spellStart"/>
            <w:r w:rsidRPr="00AA0BD5">
              <w:rPr>
                <w:sz w:val="22"/>
                <w:szCs w:val="22"/>
              </w:rPr>
              <w:t>sémaglutide</w:t>
            </w:r>
            <w:proofErr w:type="spellEnd"/>
            <w:r w:rsidRPr="00AA0BD5">
              <w:rPr>
                <w:sz w:val="22"/>
                <w:szCs w:val="22"/>
              </w:rPr>
              <w:t xml:space="preserve"> doit être prescrit uniquement dans le diabète de type 2 insuffisamment contrôlé, conformément à son autorisation de mise sur le marché ;</w:t>
            </w:r>
          </w:p>
          <w:p w:rsidR="00AA0BD5" w:rsidRPr="00AA0BD5" w:rsidRDefault="00AA0BD5" w:rsidP="00AA0BD5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A0BD5">
              <w:rPr>
                <w:sz w:val="22"/>
                <w:szCs w:val="22"/>
              </w:rPr>
              <w:t>le</w:t>
            </w:r>
            <w:proofErr w:type="gramEnd"/>
            <w:r w:rsidRPr="00AA0BD5">
              <w:rPr>
                <w:sz w:val="22"/>
                <w:szCs w:val="22"/>
              </w:rPr>
              <w:t xml:space="preserve"> détournement de ce médicament pour perdre du poids a un impact direct sur sa disponibilité pour les patients diabétiques et peut causer, ou accentuer, des tensions d’approvisionnement les privant de ce traitement essentiel ;</w:t>
            </w:r>
          </w:p>
          <w:p w:rsidR="00AA0BD5" w:rsidRPr="00AA0BD5" w:rsidRDefault="00AA0BD5" w:rsidP="00AA0BD5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c</w:t>
            </w:r>
            <w:r w:rsidRPr="00AA0BD5">
              <w:rPr>
                <w:sz w:val="22"/>
                <w:szCs w:val="22"/>
              </w:rPr>
              <w:t>e</w:t>
            </w:r>
            <w:proofErr w:type="gramEnd"/>
            <w:r w:rsidRPr="00AA0BD5">
              <w:rPr>
                <w:sz w:val="22"/>
                <w:szCs w:val="22"/>
              </w:rPr>
              <w:t xml:space="preserve"> médicament peut entraîner des effets indésirables potentiellement graves, tels que des troubles gastro-intestinaux, des pancréatites ou des hypoglycémies.</w:t>
            </w:r>
          </w:p>
          <w:p w:rsidR="00AA0BD5" w:rsidRDefault="00AA0BD5" w:rsidP="00B8656F">
            <w:pPr>
              <w:rPr>
                <w:sz w:val="22"/>
              </w:rPr>
            </w:pPr>
          </w:p>
        </w:tc>
      </w:tr>
      <w:tr w:rsidR="009D5D93" w:rsidTr="009D5D93">
        <w:trPr>
          <w:trHeight w:val="3101"/>
        </w:trPr>
        <w:tc>
          <w:tcPr>
            <w:tcW w:w="9212" w:type="dxa"/>
          </w:tcPr>
          <w:p w:rsidR="009D5D93" w:rsidRDefault="009D5D93" w:rsidP="009D5D93">
            <w:pPr>
              <w:rPr>
                <w:sz w:val="22"/>
              </w:rPr>
            </w:pPr>
          </w:p>
          <w:p w:rsidR="00B8656F" w:rsidRPr="009D5D93" w:rsidRDefault="00B8656F" w:rsidP="00B8656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77F9F">
              <w:rPr>
                <w:b/>
                <w:sz w:val="22"/>
                <w:szCs w:val="22"/>
              </w:rPr>
              <w:t>Document</w:t>
            </w:r>
            <w:r w:rsidRPr="00A77F9F"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4</w:t>
            </w:r>
            <w:r w:rsidRPr="00A77F9F">
              <w:rPr>
                <w:b/>
                <w:sz w:val="22"/>
                <w:szCs w:val="22"/>
              </w:rPr>
              <w:t xml:space="preserve"> </w:t>
            </w:r>
            <w:r w:rsidRPr="00A77F9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Extrait d’un entretien avec </w:t>
            </w:r>
            <w:r w:rsidRPr="009D5D93">
              <w:rPr>
                <w:sz w:val="22"/>
                <w:szCs w:val="22"/>
              </w:rPr>
              <w:t>Jean-Luc Faillie</w:t>
            </w:r>
            <w:r>
              <w:rPr>
                <w:sz w:val="22"/>
                <w:szCs w:val="22"/>
              </w:rPr>
              <w:t>,</w:t>
            </w:r>
            <w:r w:rsidRPr="009D5D93">
              <w:rPr>
                <w:sz w:val="22"/>
                <w:szCs w:val="22"/>
              </w:rPr>
              <w:t xml:space="preserve"> pharmacologue et responsable du centre de pharmacovigilance au CHU de Montpellier</w:t>
            </w:r>
            <w:r w:rsidR="00414BBA">
              <w:rPr>
                <w:sz w:val="22"/>
                <w:szCs w:val="22"/>
              </w:rPr>
              <w:t xml:space="preserve"> – Le Monde 10/06/2024</w:t>
            </w:r>
          </w:p>
          <w:p w:rsidR="00B8656F" w:rsidRDefault="00B8656F" w:rsidP="00B8656F">
            <w:pPr>
              <w:rPr>
                <w:rStyle w:val="Lienhypertexte"/>
                <w:sz w:val="20"/>
              </w:rPr>
            </w:pPr>
            <w:r w:rsidRPr="00AA0BD5">
              <w:rPr>
                <w:sz w:val="20"/>
              </w:rPr>
              <w:t xml:space="preserve">Source : </w:t>
            </w:r>
            <w:hyperlink r:id="rId11" w:history="1">
              <w:r w:rsidRPr="00C54B1A">
                <w:rPr>
                  <w:rStyle w:val="Lienhypertexte"/>
                  <w:sz w:val="20"/>
                </w:rPr>
                <w:t>https://www.lemonde.fr/sciences/article/2024/06/10/la-quete-d-une-silhouette-plus-fine-pousse-certains-a-faire-n-importe-quoi-pour-se-procurer-de-l-ozempic_6238508_1650684.html</w:t>
              </w:r>
            </w:hyperlink>
          </w:p>
          <w:p w:rsidR="00B8656F" w:rsidRDefault="00B8656F" w:rsidP="00B8656F">
            <w:pPr>
              <w:rPr>
                <w:sz w:val="22"/>
              </w:rPr>
            </w:pPr>
          </w:p>
          <w:p w:rsidR="009D5D93" w:rsidRDefault="009D5D93" w:rsidP="009D5D93">
            <w:pPr>
              <w:rPr>
                <w:sz w:val="22"/>
              </w:rPr>
            </w:pPr>
            <w:r>
              <w:rPr>
                <w:sz w:val="22"/>
              </w:rPr>
              <w:t>« </w:t>
            </w:r>
            <w:r w:rsidRPr="009D5D93">
              <w:rPr>
                <w:i/>
                <w:sz w:val="22"/>
              </w:rPr>
              <w:t>Quand ces médicaments sont utilisés à des fins esthétiques, le rapport bénéfice/risque est défavorable car le risque d’effets indésirables n’est pas compensé par un bénéfice clinique démontré. De plus, utiliser ces médicaments hors cadre médical peut amener à faire des erreurs susceptibles d’augmenter les effets indésirables, surtout lorsqu’il y a une hausse des doses pour maigrir rapidement.</w:t>
            </w:r>
            <w:r>
              <w:rPr>
                <w:sz w:val="22"/>
              </w:rPr>
              <w:t> »</w:t>
            </w:r>
          </w:p>
          <w:p w:rsidR="009D5D93" w:rsidRPr="009D5D93" w:rsidRDefault="009D5D93" w:rsidP="00AA0BD5">
            <w:pPr>
              <w:rPr>
                <w:sz w:val="20"/>
              </w:rPr>
            </w:pPr>
          </w:p>
        </w:tc>
      </w:tr>
    </w:tbl>
    <w:p w:rsidR="00AA0BD5" w:rsidRDefault="00AA0BD5" w:rsidP="00985807">
      <w:pPr>
        <w:rPr>
          <w:sz w:val="22"/>
        </w:rPr>
      </w:pPr>
    </w:p>
    <w:p w:rsidR="00AA0BD5" w:rsidRDefault="00AA0BD5" w:rsidP="00985807">
      <w:pPr>
        <w:rPr>
          <w:sz w:val="22"/>
        </w:rPr>
      </w:pPr>
    </w:p>
    <w:p w:rsidR="00AA0BD5" w:rsidRPr="00AA0BD5" w:rsidRDefault="00AA0BD5" w:rsidP="00AA0BD5">
      <w:pPr>
        <w:rPr>
          <w:sz w:val="22"/>
        </w:rPr>
      </w:pPr>
    </w:p>
    <w:p w:rsidR="00985807" w:rsidRDefault="00985807">
      <w:pPr>
        <w:rPr>
          <w:b/>
          <w:sz w:val="22"/>
        </w:rPr>
      </w:pPr>
    </w:p>
    <w:p w:rsidR="00DB0C62" w:rsidRPr="00A77F9F" w:rsidRDefault="00DB0C62" w:rsidP="00761CEB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A77F9F">
        <w:rPr>
          <w:b/>
          <w:sz w:val="22"/>
        </w:rPr>
        <w:lastRenderedPageBreak/>
        <w:t>Consigne</w:t>
      </w:r>
      <w:r w:rsidR="00D26BEF">
        <w:rPr>
          <w:b/>
          <w:sz w:val="22"/>
        </w:rPr>
        <w:t>s</w:t>
      </w:r>
    </w:p>
    <w:p w:rsidR="00214D88" w:rsidRDefault="00214D88" w:rsidP="00761CEB">
      <w:pPr>
        <w:rPr>
          <w:b/>
          <w:sz w:val="22"/>
          <w:highlight w:val="yellow"/>
        </w:rPr>
      </w:pPr>
    </w:p>
    <w:p w:rsidR="00C9344F" w:rsidRPr="00214D88" w:rsidRDefault="003E41C5" w:rsidP="00761CEB">
      <w:pPr>
        <w:rPr>
          <w:b/>
          <w:sz w:val="22"/>
        </w:rPr>
      </w:pPr>
      <w:r w:rsidRPr="00214D88">
        <w:rPr>
          <w:b/>
          <w:sz w:val="22"/>
        </w:rPr>
        <w:t>Exploiter l’ensemble des données pour é</w:t>
      </w:r>
      <w:r w:rsidR="00C9344F" w:rsidRPr="00214D88">
        <w:rPr>
          <w:b/>
          <w:sz w:val="22"/>
        </w:rPr>
        <w:t xml:space="preserve">tablir les mécanismes d’action du </w:t>
      </w:r>
      <w:proofErr w:type="spellStart"/>
      <w:r w:rsidR="00C9344F" w:rsidRPr="00214D88">
        <w:rPr>
          <w:b/>
          <w:sz w:val="22"/>
        </w:rPr>
        <w:t>sémaglutide</w:t>
      </w:r>
      <w:proofErr w:type="spellEnd"/>
      <w:r w:rsidR="00C9344F" w:rsidRPr="00214D88">
        <w:rPr>
          <w:b/>
          <w:sz w:val="22"/>
        </w:rPr>
        <w:t xml:space="preserve"> </w:t>
      </w:r>
      <w:r w:rsidR="00214D88">
        <w:rPr>
          <w:b/>
          <w:sz w:val="22"/>
        </w:rPr>
        <w:t xml:space="preserve">qui permettent de </w:t>
      </w:r>
      <w:r w:rsidR="00C9344F" w:rsidRPr="00214D88">
        <w:rPr>
          <w:b/>
          <w:sz w:val="22"/>
        </w:rPr>
        <w:t xml:space="preserve">réduire la glycémie et </w:t>
      </w:r>
      <w:r w:rsidRPr="00214D88">
        <w:rPr>
          <w:b/>
          <w:sz w:val="22"/>
        </w:rPr>
        <w:t>expliquer en quoi son utilisation inappropriée (ou détournée) peut poser problème</w:t>
      </w:r>
      <w:r w:rsidR="00214D88" w:rsidRPr="00214D88">
        <w:rPr>
          <w:b/>
          <w:sz w:val="22"/>
        </w:rPr>
        <w:t>.</w:t>
      </w:r>
    </w:p>
    <w:p w:rsidR="003E41C5" w:rsidRDefault="003E41C5" w:rsidP="00761CEB">
      <w:pPr>
        <w:rPr>
          <w:b/>
          <w:sz w:val="22"/>
          <w:highlight w:val="yellow"/>
          <w:u w:val="single"/>
        </w:rPr>
      </w:pPr>
    </w:p>
    <w:p w:rsidR="00C9344F" w:rsidRPr="00214D88" w:rsidRDefault="00D76065" w:rsidP="00761CEB">
      <w:pPr>
        <w:rPr>
          <w:b/>
          <w:sz w:val="22"/>
        </w:rPr>
      </w:pPr>
      <w:r w:rsidRPr="00214D88">
        <w:rPr>
          <w:b/>
          <w:sz w:val="22"/>
        </w:rPr>
        <w:t>S</w:t>
      </w:r>
      <w:r w:rsidR="003E41C5" w:rsidRPr="00214D88">
        <w:rPr>
          <w:b/>
          <w:sz w:val="22"/>
        </w:rPr>
        <w:t>tratégie</w:t>
      </w:r>
      <w:r w:rsidR="00C9344F" w:rsidRPr="00214D88">
        <w:rPr>
          <w:b/>
          <w:sz w:val="22"/>
        </w:rPr>
        <w:t xml:space="preserve"> pour répondre aux deux objectifs :</w:t>
      </w:r>
    </w:p>
    <w:p w:rsidR="00BF69A1" w:rsidRPr="00214D88" w:rsidRDefault="003E41C5" w:rsidP="00C9344F">
      <w:pPr>
        <w:pStyle w:val="Paragraphedeliste"/>
        <w:numPr>
          <w:ilvl w:val="0"/>
          <w:numId w:val="25"/>
        </w:numPr>
        <w:rPr>
          <w:sz w:val="22"/>
        </w:rPr>
      </w:pPr>
      <w:r w:rsidRPr="00214D88">
        <w:rPr>
          <w:sz w:val="22"/>
        </w:rPr>
        <w:t>Localiser</w:t>
      </w:r>
      <w:r w:rsidR="00C9344F" w:rsidRPr="00214D88">
        <w:rPr>
          <w:sz w:val="22"/>
        </w:rPr>
        <w:t xml:space="preserve"> l’action du </w:t>
      </w:r>
      <w:proofErr w:type="spellStart"/>
      <w:r w:rsidR="00C9344F" w:rsidRPr="00214D88">
        <w:rPr>
          <w:sz w:val="22"/>
        </w:rPr>
        <w:t>sémaglutide</w:t>
      </w:r>
      <w:proofErr w:type="spellEnd"/>
      <w:r w:rsidR="00C9344F" w:rsidRPr="00214D88">
        <w:rPr>
          <w:sz w:val="22"/>
        </w:rPr>
        <w:t xml:space="preserve"> en réalisant une étude moléculaire</w:t>
      </w:r>
      <w:r w:rsidR="00214D88">
        <w:rPr>
          <w:sz w:val="22"/>
        </w:rPr>
        <w:t> ;</w:t>
      </w:r>
    </w:p>
    <w:p w:rsidR="00C9344F" w:rsidRPr="00214D88" w:rsidRDefault="00BF69A1" w:rsidP="00C9344F">
      <w:pPr>
        <w:pStyle w:val="Paragraphedeliste"/>
        <w:numPr>
          <w:ilvl w:val="0"/>
          <w:numId w:val="25"/>
        </w:numPr>
        <w:rPr>
          <w:sz w:val="22"/>
        </w:rPr>
      </w:pPr>
      <w:r w:rsidRPr="00214D88">
        <w:rPr>
          <w:sz w:val="22"/>
        </w:rPr>
        <w:t xml:space="preserve">En </w:t>
      </w:r>
      <w:r w:rsidR="00D76065" w:rsidRPr="00214D88">
        <w:rPr>
          <w:sz w:val="22"/>
        </w:rPr>
        <w:t xml:space="preserve">déduire des hypothèses sur les </w:t>
      </w:r>
      <w:r w:rsidR="00214D88">
        <w:rPr>
          <w:sz w:val="22"/>
        </w:rPr>
        <w:t>mécanismes</w:t>
      </w:r>
      <w:r w:rsidR="00D76065" w:rsidRPr="00214D88">
        <w:rPr>
          <w:sz w:val="22"/>
        </w:rPr>
        <w:t xml:space="preserve"> de son action sur la régulation de la glycémie</w:t>
      </w:r>
      <w:r w:rsidR="00214D88">
        <w:rPr>
          <w:sz w:val="22"/>
        </w:rPr>
        <w:t> ;</w:t>
      </w:r>
    </w:p>
    <w:p w:rsidR="00C9344F" w:rsidRPr="00214D88" w:rsidRDefault="003E41C5" w:rsidP="00C9344F">
      <w:pPr>
        <w:pStyle w:val="Paragraphedeliste"/>
        <w:numPr>
          <w:ilvl w:val="0"/>
          <w:numId w:val="25"/>
        </w:numPr>
        <w:rPr>
          <w:b/>
          <w:sz w:val="22"/>
        </w:rPr>
      </w:pPr>
      <w:r w:rsidRPr="00214D88">
        <w:rPr>
          <w:rFonts w:cs="Arial"/>
          <w:snapToGrid w:val="0"/>
          <w:sz w:val="22"/>
        </w:rPr>
        <w:t xml:space="preserve">Proposer une </w:t>
      </w:r>
      <w:r w:rsidR="00D76065" w:rsidRPr="00214D88">
        <w:rPr>
          <w:rFonts w:cs="Arial"/>
          <w:snapToGrid w:val="0"/>
          <w:sz w:val="22"/>
        </w:rPr>
        <w:t>expérimentation qui permettrai</w:t>
      </w:r>
      <w:r w:rsidRPr="00214D88">
        <w:rPr>
          <w:rFonts w:cs="Arial"/>
          <w:snapToGrid w:val="0"/>
          <w:sz w:val="22"/>
        </w:rPr>
        <w:t xml:space="preserve">t de </w:t>
      </w:r>
      <w:r w:rsidR="00D76065" w:rsidRPr="00214D88">
        <w:rPr>
          <w:rFonts w:cs="Arial"/>
          <w:snapToGrid w:val="0"/>
          <w:sz w:val="22"/>
        </w:rPr>
        <w:t>vérifier ces hypothèses</w:t>
      </w:r>
      <w:r w:rsidRPr="00214D88">
        <w:rPr>
          <w:rFonts w:cs="Arial"/>
          <w:snapToGrid w:val="0"/>
          <w:sz w:val="22"/>
        </w:rPr>
        <w:t xml:space="preserve"> (</w:t>
      </w:r>
      <w:r w:rsidR="00214D88" w:rsidRPr="00214D88">
        <w:rPr>
          <w:rFonts w:cs="Arial"/>
          <w:i/>
          <w:snapToGrid w:val="0"/>
          <w:sz w:val="22"/>
        </w:rPr>
        <w:t xml:space="preserve">une ressource documentaire présentant </w:t>
      </w:r>
      <w:r w:rsidRPr="00214D88">
        <w:rPr>
          <w:rFonts w:cs="Arial"/>
          <w:i/>
          <w:snapToGrid w:val="0"/>
          <w:sz w:val="22"/>
        </w:rPr>
        <w:t>les résultats expérimentaux obtenus ser</w:t>
      </w:r>
      <w:r w:rsidR="00214D88">
        <w:rPr>
          <w:rFonts w:cs="Arial"/>
          <w:i/>
          <w:snapToGrid w:val="0"/>
          <w:sz w:val="22"/>
        </w:rPr>
        <w:t>a</w:t>
      </w:r>
      <w:r w:rsidRPr="00214D88">
        <w:rPr>
          <w:rFonts w:cs="Arial"/>
          <w:i/>
          <w:snapToGrid w:val="0"/>
          <w:sz w:val="22"/>
        </w:rPr>
        <w:t xml:space="preserve"> fourn</w:t>
      </w:r>
      <w:r w:rsidR="00214D88">
        <w:rPr>
          <w:rFonts w:cs="Arial"/>
          <w:i/>
          <w:snapToGrid w:val="0"/>
          <w:sz w:val="22"/>
        </w:rPr>
        <w:t>ie</w:t>
      </w:r>
      <w:r w:rsidR="00270B21" w:rsidRPr="00214D88">
        <w:rPr>
          <w:rFonts w:cs="Arial"/>
          <w:i/>
          <w:snapToGrid w:val="0"/>
          <w:sz w:val="22"/>
        </w:rPr>
        <w:t xml:space="preserve"> </w:t>
      </w:r>
      <w:r w:rsidR="00BF69A1" w:rsidRPr="00214D88">
        <w:rPr>
          <w:rFonts w:cs="Arial"/>
          <w:i/>
          <w:snapToGrid w:val="0"/>
          <w:sz w:val="22"/>
        </w:rPr>
        <w:t>à l’issue</w:t>
      </w:r>
      <w:r w:rsidRPr="00214D88">
        <w:rPr>
          <w:rFonts w:cs="Arial"/>
          <w:i/>
          <w:snapToGrid w:val="0"/>
          <w:sz w:val="22"/>
        </w:rPr>
        <w:t xml:space="preserve"> de la proposition</w:t>
      </w:r>
      <w:r w:rsidRPr="00214D88">
        <w:rPr>
          <w:rFonts w:cs="Arial"/>
          <w:snapToGrid w:val="0"/>
          <w:sz w:val="22"/>
        </w:rPr>
        <w:t>)</w:t>
      </w:r>
      <w:r w:rsidR="00214D88">
        <w:rPr>
          <w:rFonts w:cs="Arial"/>
          <w:snapToGrid w:val="0"/>
          <w:sz w:val="22"/>
        </w:rPr>
        <w:t> ;</w:t>
      </w:r>
    </w:p>
    <w:p w:rsidR="00214D88" w:rsidRPr="00214D88" w:rsidRDefault="00214D88" w:rsidP="00C9344F">
      <w:pPr>
        <w:pStyle w:val="Paragraphedeliste"/>
        <w:numPr>
          <w:ilvl w:val="0"/>
          <w:numId w:val="25"/>
        </w:numPr>
        <w:rPr>
          <w:sz w:val="22"/>
        </w:rPr>
      </w:pPr>
      <w:r w:rsidRPr="00214D88">
        <w:rPr>
          <w:rFonts w:cstheme="minorHAnsi"/>
          <w:sz w:val="22"/>
        </w:rPr>
        <w:t>À</w:t>
      </w:r>
      <w:r w:rsidRPr="00214D88">
        <w:rPr>
          <w:sz w:val="22"/>
        </w:rPr>
        <w:t xml:space="preserve"> partir de l’ensemble des résultats, conclure sur le mode d’action du </w:t>
      </w:r>
      <w:proofErr w:type="spellStart"/>
      <w:r w:rsidRPr="00214D88">
        <w:rPr>
          <w:sz w:val="22"/>
        </w:rPr>
        <w:t>sémaglutide</w:t>
      </w:r>
      <w:proofErr w:type="spellEnd"/>
      <w:r w:rsidRPr="00214D88">
        <w:rPr>
          <w:sz w:val="22"/>
        </w:rPr>
        <w:t> ;</w:t>
      </w:r>
    </w:p>
    <w:p w:rsidR="003E41C5" w:rsidRPr="00214D88" w:rsidRDefault="003E41C5" w:rsidP="00C9344F">
      <w:pPr>
        <w:pStyle w:val="Paragraphedeliste"/>
        <w:numPr>
          <w:ilvl w:val="0"/>
          <w:numId w:val="25"/>
        </w:numPr>
        <w:rPr>
          <w:b/>
          <w:sz w:val="22"/>
        </w:rPr>
      </w:pPr>
      <w:r w:rsidRPr="00214D88">
        <w:rPr>
          <w:rFonts w:cs="Arial"/>
          <w:snapToGrid w:val="0"/>
          <w:sz w:val="22"/>
        </w:rPr>
        <w:t>Exploit</w:t>
      </w:r>
      <w:r w:rsidR="000D1DEF" w:rsidRPr="00214D88">
        <w:rPr>
          <w:rFonts w:cs="Arial"/>
          <w:snapToGrid w:val="0"/>
          <w:sz w:val="22"/>
        </w:rPr>
        <w:t>er</w:t>
      </w:r>
      <w:r w:rsidRPr="00214D88">
        <w:rPr>
          <w:rFonts w:cs="Arial"/>
          <w:snapToGrid w:val="0"/>
          <w:sz w:val="22"/>
        </w:rPr>
        <w:t xml:space="preserve"> </w:t>
      </w:r>
      <w:r w:rsidR="000D1DEF" w:rsidRPr="00214D88">
        <w:rPr>
          <w:rFonts w:cs="Arial"/>
          <w:snapToGrid w:val="0"/>
          <w:sz w:val="22"/>
        </w:rPr>
        <w:t>les</w:t>
      </w:r>
      <w:r w:rsidRPr="00214D88">
        <w:rPr>
          <w:rFonts w:cs="Arial"/>
          <w:snapToGrid w:val="0"/>
          <w:sz w:val="22"/>
        </w:rPr>
        <w:t xml:space="preserve"> documents 3 et 4 pour </w:t>
      </w:r>
      <w:r w:rsidR="00D76065" w:rsidRPr="00214D88">
        <w:rPr>
          <w:rFonts w:cs="Arial"/>
          <w:snapToGrid w:val="0"/>
          <w:sz w:val="22"/>
        </w:rPr>
        <w:t xml:space="preserve">extraire les arguments expliquant les conséquences d’un usage détourné du </w:t>
      </w:r>
      <w:proofErr w:type="spellStart"/>
      <w:r w:rsidR="00D76065" w:rsidRPr="00214D88">
        <w:rPr>
          <w:rFonts w:cs="Arial"/>
          <w:snapToGrid w:val="0"/>
          <w:sz w:val="22"/>
        </w:rPr>
        <w:t>sémaglutide</w:t>
      </w:r>
      <w:proofErr w:type="spellEnd"/>
      <w:r w:rsidR="00D76065" w:rsidRPr="00214D88">
        <w:rPr>
          <w:rFonts w:cs="Arial"/>
          <w:snapToGrid w:val="0"/>
          <w:sz w:val="22"/>
        </w:rPr>
        <w:t>.</w:t>
      </w:r>
    </w:p>
    <w:p w:rsidR="003E41C5" w:rsidRPr="00C9344F" w:rsidRDefault="003E41C5" w:rsidP="00214D88">
      <w:pPr>
        <w:pStyle w:val="Paragraphedeliste"/>
        <w:rPr>
          <w:b/>
          <w:sz w:val="22"/>
        </w:rPr>
      </w:pPr>
    </w:p>
    <w:p w:rsidR="00C7035D" w:rsidRDefault="00C7035D" w:rsidP="00761CEB">
      <w:pPr>
        <w:widowControl w:val="0"/>
        <w:spacing w:afterLines="60" w:after="144" w:line="240" w:lineRule="auto"/>
        <w:rPr>
          <w:rFonts w:cs="Arial"/>
          <w:snapToGrid w:val="0"/>
          <w:sz w:val="22"/>
        </w:rPr>
      </w:pPr>
    </w:p>
    <w:p w:rsidR="00EB798F" w:rsidRPr="00EB798F" w:rsidRDefault="00EB798F" w:rsidP="00EB798F">
      <w:pPr>
        <w:widowControl w:val="0"/>
        <w:spacing w:afterLines="60" w:after="144" w:line="240" w:lineRule="auto"/>
        <w:rPr>
          <w:rFonts w:cs="Arial"/>
          <w:snapToGrid w:val="0"/>
          <w:sz w:val="22"/>
        </w:rPr>
      </w:pPr>
      <w:r w:rsidRPr="00EB798F">
        <w:rPr>
          <w:rFonts w:cs="Arial"/>
          <w:snapToGrid w:val="0"/>
          <w:sz w:val="22"/>
        </w:rPr>
        <w:br w:type="page"/>
      </w:r>
    </w:p>
    <w:p w:rsidR="00B8656F" w:rsidRDefault="002E480A" w:rsidP="002E480A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2E480A">
        <w:rPr>
          <w:b/>
          <w:sz w:val="22"/>
        </w:rPr>
        <w:lastRenderedPageBreak/>
        <w:t>Résultats</w:t>
      </w:r>
    </w:p>
    <w:p w:rsidR="00B8656F" w:rsidRDefault="00B8656F" w:rsidP="00B8656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  <w:r w:rsidRPr="00A77F9F">
        <w:rPr>
          <w:b/>
          <w:sz w:val="22"/>
          <w:szCs w:val="22"/>
        </w:rPr>
        <w:t>Document</w:t>
      </w:r>
      <w:r w:rsidRPr="00A77F9F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5</w:t>
      </w:r>
      <w:r w:rsidRPr="00A77F9F">
        <w:rPr>
          <w:b/>
          <w:sz w:val="22"/>
          <w:szCs w:val="22"/>
        </w:rPr>
        <w:t xml:space="preserve"> </w:t>
      </w:r>
      <w:r w:rsidRPr="00A77F9F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Visualisation des structures des molécules intervenant dans la régulation de la glycémie, chez une personne ayant pris du </w:t>
      </w:r>
      <w:proofErr w:type="spellStart"/>
      <w:r>
        <w:rPr>
          <w:rFonts w:cs="Calibri"/>
          <w:sz w:val="22"/>
          <w:szCs w:val="22"/>
        </w:rPr>
        <w:t>sémaglutide</w:t>
      </w:r>
      <w:proofErr w:type="spellEnd"/>
      <w:r>
        <w:rPr>
          <w:rFonts w:cs="Calibri"/>
          <w:sz w:val="22"/>
          <w:szCs w:val="22"/>
        </w:rPr>
        <w:t xml:space="preserve"> (mise en forme avec </w:t>
      </w:r>
      <w:proofErr w:type="spellStart"/>
      <w:r>
        <w:rPr>
          <w:rFonts w:cs="Calibri"/>
          <w:sz w:val="22"/>
          <w:szCs w:val="22"/>
        </w:rPr>
        <w:t>Libmol</w:t>
      </w:r>
      <w:proofErr w:type="spellEnd"/>
      <w:r>
        <w:rPr>
          <w:rFonts w:cs="Calibri"/>
          <w:sz w:val="22"/>
          <w:szCs w:val="22"/>
        </w:rPr>
        <w:t>).</w:t>
      </w:r>
    </w:p>
    <w:p w:rsidR="00B8656F" w:rsidRDefault="00B8656F" w:rsidP="00B8656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</w:p>
    <w:p w:rsidR="00B8656F" w:rsidRDefault="00B8656F" w:rsidP="00B8656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Le </w:t>
      </w:r>
      <w:proofErr w:type="spellStart"/>
      <w:r>
        <w:rPr>
          <w:rFonts w:cs="Calibri"/>
          <w:sz w:val="22"/>
          <w:szCs w:val="22"/>
        </w:rPr>
        <w:t>sémaglutide</w:t>
      </w:r>
      <w:proofErr w:type="spellEnd"/>
      <w:r>
        <w:rPr>
          <w:rFonts w:cs="Calibri"/>
          <w:sz w:val="22"/>
          <w:szCs w:val="22"/>
        </w:rPr>
        <w:t xml:space="preserve"> se fixe uniquement sur le récepteur de GLP1. </w:t>
      </w:r>
    </w:p>
    <w:p w:rsidR="00B8656F" w:rsidRDefault="00B8656F" w:rsidP="00B8656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</w:p>
    <w:p w:rsidR="00201A10" w:rsidRPr="000822D9" w:rsidRDefault="00E47A05" w:rsidP="00305ED8">
      <w:pPr>
        <w:rPr>
          <w:sz w:val="22"/>
        </w:rPr>
      </w:pPr>
      <w:r>
        <w:rPr>
          <w:noProof/>
          <w:sz w:val="22"/>
          <w:lang w:eastAsia="fr-FR"/>
        </w:rPr>
        <w:drawing>
          <wp:inline distT="0" distB="0" distL="0" distR="0">
            <wp:extent cx="5760720" cy="44526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uctures_molecules_glycemi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9C7" w:rsidRDefault="00BE69C7" w:rsidP="00EB798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</w:p>
    <w:p w:rsidR="00BE69C7" w:rsidRDefault="00BE69C7" w:rsidP="00EB798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L’analyse des structures moléculaires met en évidence le lieu d’action du </w:t>
      </w:r>
      <w:proofErr w:type="spellStart"/>
      <w:r>
        <w:rPr>
          <w:rFonts w:cs="Calibri"/>
          <w:sz w:val="22"/>
          <w:szCs w:val="22"/>
        </w:rPr>
        <w:t>sémaglutide</w:t>
      </w:r>
      <w:proofErr w:type="spellEnd"/>
      <w:r>
        <w:rPr>
          <w:rFonts w:cs="Calibri"/>
          <w:sz w:val="22"/>
          <w:szCs w:val="22"/>
        </w:rPr>
        <w:t xml:space="preserve">, à savoir le récepteur de GLP1. Mais la fixation du </w:t>
      </w:r>
      <w:proofErr w:type="spellStart"/>
      <w:r>
        <w:rPr>
          <w:rFonts w:cs="Calibri"/>
          <w:sz w:val="22"/>
          <w:szCs w:val="22"/>
        </w:rPr>
        <w:t>sémaglutide</w:t>
      </w:r>
      <w:proofErr w:type="spellEnd"/>
      <w:r>
        <w:rPr>
          <w:rFonts w:cs="Calibri"/>
          <w:sz w:val="22"/>
          <w:szCs w:val="22"/>
        </w:rPr>
        <w:t xml:space="preserve"> sur le récepteur pourrait avoir soit le même effet que GLP1 (rôle agoniste), soit l’effet inverse (rôle antagoniste).</w:t>
      </w:r>
    </w:p>
    <w:p w:rsidR="003945EC" w:rsidRDefault="00BE69C7" w:rsidP="00EB798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Pour élucider la fonction du </w:t>
      </w:r>
      <w:proofErr w:type="spellStart"/>
      <w:r>
        <w:rPr>
          <w:rFonts w:cs="Calibri"/>
          <w:sz w:val="22"/>
          <w:szCs w:val="22"/>
        </w:rPr>
        <w:t>sémaglutide</w:t>
      </w:r>
      <w:proofErr w:type="spellEnd"/>
      <w:r>
        <w:rPr>
          <w:rFonts w:cs="Calibri"/>
          <w:sz w:val="22"/>
          <w:szCs w:val="22"/>
        </w:rPr>
        <w:t xml:space="preserve"> il faudrait déterminer son effet sur les cibles du récepteur de GLP1, </w:t>
      </w:r>
      <w:r w:rsidR="002E2433">
        <w:rPr>
          <w:rFonts w:cs="Calibri"/>
          <w:sz w:val="22"/>
          <w:szCs w:val="22"/>
        </w:rPr>
        <w:t xml:space="preserve">c’est-à-dire </w:t>
      </w:r>
      <w:r>
        <w:rPr>
          <w:rFonts w:cs="Calibri"/>
          <w:sz w:val="22"/>
          <w:szCs w:val="22"/>
        </w:rPr>
        <w:t>l</w:t>
      </w:r>
      <w:r w:rsidR="002E2433">
        <w:rPr>
          <w:rFonts w:cs="Calibri"/>
          <w:sz w:val="22"/>
          <w:szCs w:val="22"/>
        </w:rPr>
        <w:t>a modulation de la</w:t>
      </w:r>
      <w:r>
        <w:rPr>
          <w:rFonts w:cs="Calibri"/>
          <w:sz w:val="22"/>
          <w:szCs w:val="22"/>
        </w:rPr>
        <w:t xml:space="preserve"> production d’insuline et de glucagon. On peut donc imaginer une expérience dans laquelle on mesurerait les quantités d’insuline et de glucagon produites en réponse à la prise de </w:t>
      </w:r>
      <w:proofErr w:type="spellStart"/>
      <w:r>
        <w:rPr>
          <w:rFonts w:cs="Calibri"/>
          <w:sz w:val="22"/>
          <w:szCs w:val="22"/>
        </w:rPr>
        <w:t>sémaglutide</w:t>
      </w:r>
      <w:proofErr w:type="spellEnd"/>
      <w:r>
        <w:rPr>
          <w:rFonts w:cs="Calibri"/>
          <w:sz w:val="22"/>
          <w:szCs w:val="22"/>
        </w:rPr>
        <w:t>.</w:t>
      </w:r>
    </w:p>
    <w:p w:rsidR="003945EC" w:rsidRDefault="003945EC" w:rsidP="00EB798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</w:p>
    <w:p w:rsidR="00EB798F" w:rsidRDefault="00EB798F" w:rsidP="00EB798F">
      <w:pPr>
        <w:autoSpaceDE w:val="0"/>
        <w:autoSpaceDN w:val="0"/>
        <w:adjustRightInd w:val="0"/>
        <w:spacing w:line="240" w:lineRule="auto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br w:type="page"/>
      </w:r>
    </w:p>
    <w:p w:rsidR="00D26BEF" w:rsidRPr="002E480A" w:rsidRDefault="00D26BEF" w:rsidP="00D26BEF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 w:rsidRPr="002E480A">
        <w:rPr>
          <w:b/>
          <w:sz w:val="22"/>
        </w:rPr>
        <w:lastRenderedPageBreak/>
        <w:t>R</w:t>
      </w:r>
      <w:r>
        <w:rPr>
          <w:b/>
          <w:sz w:val="22"/>
        </w:rPr>
        <w:t>essource complémentaire</w:t>
      </w:r>
    </w:p>
    <w:p w:rsidR="00E242D3" w:rsidRDefault="00E242D3" w:rsidP="00E242D3">
      <w:pPr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42D3" w:rsidTr="00E242D3">
        <w:tc>
          <w:tcPr>
            <w:tcW w:w="9212" w:type="dxa"/>
          </w:tcPr>
          <w:p w:rsidR="00B8656F" w:rsidRDefault="00B8656F" w:rsidP="00B8656F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B8656F" w:rsidRDefault="00B8656F" w:rsidP="00B8656F">
            <w:p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A77F9F">
              <w:rPr>
                <w:b/>
                <w:sz w:val="22"/>
                <w:szCs w:val="22"/>
              </w:rPr>
              <w:t>Document</w:t>
            </w:r>
            <w:r w:rsidRPr="00A77F9F">
              <w:rPr>
                <w:sz w:val="22"/>
                <w:szCs w:val="22"/>
              </w:rPr>
              <w:t xml:space="preserve"> </w:t>
            </w:r>
            <w:r w:rsidRPr="00593C5E">
              <w:rPr>
                <w:b/>
                <w:sz w:val="22"/>
                <w:szCs w:val="22"/>
              </w:rPr>
              <w:t>6</w:t>
            </w:r>
            <w:r w:rsidRPr="00A77F9F">
              <w:rPr>
                <w:b/>
                <w:sz w:val="22"/>
                <w:szCs w:val="22"/>
              </w:rPr>
              <w:t xml:space="preserve"> </w:t>
            </w:r>
            <w:r w:rsidRPr="00A77F9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Évolution de la</w:t>
            </w:r>
            <w:r w:rsidRPr="00615EC4">
              <w:rPr>
                <w:rFonts w:cs="Calibri"/>
                <w:sz w:val="22"/>
                <w:szCs w:val="22"/>
              </w:rPr>
              <w:t xml:space="preserve"> glycémie</w:t>
            </w:r>
            <w:r>
              <w:rPr>
                <w:rFonts w:cs="Calibri"/>
                <w:sz w:val="22"/>
                <w:szCs w:val="22"/>
              </w:rPr>
              <w:t xml:space="preserve"> et des concentrations sanguines en glucagon et en insuline après un repas chez 15 sujets traités ou non pendant 3 mois avec du </w:t>
            </w:r>
            <w:proofErr w:type="spellStart"/>
            <w:r>
              <w:rPr>
                <w:rFonts w:cs="Calibri"/>
                <w:sz w:val="22"/>
                <w:szCs w:val="22"/>
              </w:rPr>
              <w:t>sémaglutide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  <w:p w:rsidR="00B8656F" w:rsidRDefault="00B8656F" w:rsidP="00B8656F">
            <w:pPr>
              <w:autoSpaceDE w:val="0"/>
              <w:autoSpaceDN w:val="0"/>
              <w:adjustRightInd w:val="0"/>
              <w:rPr>
                <w:rStyle w:val="Lienhypertexte"/>
                <w:sz w:val="20"/>
                <w:szCs w:val="20"/>
              </w:rPr>
            </w:pPr>
            <w:proofErr w:type="gramStart"/>
            <w:r w:rsidRPr="00E242D3">
              <w:rPr>
                <w:sz w:val="20"/>
                <w:szCs w:val="20"/>
                <w:lang w:val="en-US"/>
              </w:rPr>
              <w:t>Source :</w:t>
            </w:r>
            <w:proofErr w:type="gramEnd"/>
            <w:r w:rsidRPr="00E242D3">
              <w:rPr>
                <w:sz w:val="20"/>
                <w:szCs w:val="20"/>
                <w:lang w:val="en-US"/>
              </w:rPr>
              <w:t xml:space="preserve"> </w:t>
            </w:r>
            <w:hyperlink r:id="rId13" w:history="1"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 xml:space="preserve">Dahl K, Brooks A, </w:t>
              </w:r>
              <w:proofErr w:type="spellStart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>Almazedi</w:t>
              </w:r>
              <w:proofErr w:type="spellEnd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 xml:space="preserve"> F, Hoff ST, </w:t>
              </w:r>
              <w:proofErr w:type="spellStart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>Boschini</w:t>
              </w:r>
              <w:proofErr w:type="spellEnd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 xml:space="preserve"> C, </w:t>
              </w:r>
              <w:proofErr w:type="spellStart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>Baekdal</w:t>
              </w:r>
              <w:proofErr w:type="spellEnd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 xml:space="preserve"> TA. Oral </w:t>
              </w:r>
              <w:proofErr w:type="spellStart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>semaglutide</w:t>
              </w:r>
              <w:proofErr w:type="spellEnd"/>
              <w:r w:rsidRPr="00E242D3">
                <w:rPr>
                  <w:rStyle w:val="Lienhypertexte"/>
                  <w:sz w:val="20"/>
                  <w:szCs w:val="20"/>
                  <w:lang w:val="en-US"/>
                </w:rPr>
                <w:t xml:space="preserve"> improves postprandial glucose and lipid metabolism, and delays gastric emptying, in subjects with type 2 diabetes. </w:t>
              </w:r>
              <w:proofErr w:type="spellStart"/>
              <w:r w:rsidRPr="00E242D3">
                <w:rPr>
                  <w:rStyle w:val="Lienhypertexte"/>
                  <w:sz w:val="20"/>
                  <w:szCs w:val="20"/>
                </w:rPr>
                <w:t>Diabetes</w:t>
              </w:r>
              <w:proofErr w:type="spellEnd"/>
              <w:r w:rsidRPr="00E242D3">
                <w:rPr>
                  <w:rStyle w:val="Lienhypertexte"/>
                  <w:sz w:val="20"/>
                  <w:szCs w:val="20"/>
                </w:rPr>
                <w:t xml:space="preserve"> </w:t>
              </w:r>
              <w:proofErr w:type="spellStart"/>
              <w:r w:rsidRPr="00E242D3">
                <w:rPr>
                  <w:rStyle w:val="Lienhypertexte"/>
                  <w:sz w:val="20"/>
                  <w:szCs w:val="20"/>
                </w:rPr>
                <w:t>Obes</w:t>
              </w:r>
              <w:proofErr w:type="spellEnd"/>
              <w:r w:rsidRPr="00E242D3">
                <w:rPr>
                  <w:rStyle w:val="Lienhypertexte"/>
                  <w:sz w:val="20"/>
                  <w:szCs w:val="20"/>
                </w:rPr>
                <w:t xml:space="preserve"> </w:t>
              </w:r>
              <w:proofErr w:type="spellStart"/>
              <w:r w:rsidRPr="00E242D3">
                <w:rPr>
                  <w:rStyle w:val="Lienhypertexte"/>
                  <w:sz w:val="20"/>
                  <w:szCs w:val="20"/>
                </w:rPr>
                <w:t>Metab</w:t>
              </w:r>
              <w:proofErr w:type="spellEnd"/>
              <w:r w:rsidRPr="00E242D3">
                <w:rPr>
                  <w:rStyle w:val="Lienhypertexte"/>
                  <w:sz w:val="20"/>
                  <w:szCs w:val="20"/>
                </w:rPr>
                <w:t xml:space="preserve">. 2021 </w:t>
              </w:r>
              <w:proofErr w:type="gramStart"/>
              <w:r w:rsidRPr="00E242D3">
                <w:rPr>
                  <w:rStyle w:val="Lienhypertexte"/>
                  <w:sz w:val="20"/>
                  <w:szCs w:val="20"/>
                </w:rPr>
                <w:t>Jul;</w:t>
              </w:r>
              <w:proofErr w:type="gramEnd"/>
              <w:r w:rsidRPr="00E242D3">
                <w:rPr>
                  <w:rStyle w:val="Lienhypertexte"/>
                  <w:sz w:val="20"/>
                  <w:szCs w:val="20"/>
                </w:rPr>
                <w:t>23(7):1594-1603.</w:t>
              </w:r>
            </w:hyperlink>
          </w:p>
          <w:p w:rsidR="00B8656F" w:rsidRPr="00E242D3" w:rsidRDefault="00B8656F" w:rsidP="00B8656F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  <w:p w:rsidR="00E242D3" w:rsidRDefault="00E242D3" w:rsidP="00E242D3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3463950" cy="483791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ction_semaglutid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905" cy="484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2D3" w:rsidRDefault="00E242D3" w:rsidP="00B8656F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</w:tr>
    </w:tbl>
    <w:p w:rsidR="00E242D3" w:rsidRPr="00615EC4" w:rsidRDefault="00E242D3" w:rsidP="00E242D3">
      <w:pPr>
        <w:rPr>
          <w:sz w:val="22"/>
        </w:rPr>
      </w:pPr>
    </w:p>
    <w:p w:rsidR="00D26BEF" w:rsidRDefault="00D26BEF" w:rsidP="00AD5F89">
      <w:pPr>
        <w:rPr>
          <w:rFonts w:cs="Arial"/>
          <w:snapToGrid w:val="0"/>
          <w:sz w:val="22"/>
          <w:szCs w:val="22"/>
        </w:rPr>
      </w:pPr>
    </w:p>
    <w:p w:rsidR="00D26BEF" w:rsidRPr="002E480A" w:rsidRDefault="00D26BEF" w:rsidP="00D26BEF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>
        <w:rPr>
          <w:b/>
          <w:sz w:val="22"/>
        </w:rPr>
        <w:t>Conclusion</w:t>
      </w:r>
    </w:p>
    <w:p w:rsidR="00D26BEF" w:rsidRDefault="00D52FF5" w:rsidP="00EB798F">
      <w:pPr>
        <w:spacing w:line="240" w:lineRule="auto"/>
        <w:rPr>
          <w:sz w:val="22"/>
        </w:rPr>
      </w:pPr>
      <w:r>
        <w:rPr>
          <w:sz w:val="22"/>
        </w:rPr>
        <w:t>Les individus pren</w:t>
      </w:r>
      <w:r w:rsidR="002D30F7">
        <w:rPr>
          <w:sz w:val="22"/>
        </w:rPr>
        <w:t>an</w:t>
      </w:r>
      <w:r>
        <w:rPr>
          <w:sz w:val="22"/>
        </w:rPr>
        <w:t xml:space="preserve">t régulièrement du </w:t>
      </w:r>
      <w:proofErr w:type="spellStart"/>
      <w:r>
        <w:rPr>
          <w:sz w:val="22"/>
        </w:rPr>
        <w:t>séma</w:t>
      </w:r>
      <w:r w:rsidR="002D30F7">
        <w:rPr>
          <w:sz w:val="22"/>
        </w:rPr>
        <w:t>glutide</w:t>
      </w:r>
      <w:proofErr w:type="spellEnd"/>
      <w:r w:rsidR="002D30F7">
        <w:rPr>
          <w:sz w:val="22"/>
        </w:rPr>
        <w:t xml:space="preserve"> ont une glycémie inférieure à celle des individus qui reçoivent le placébo. On retrouve ici l’effet hypoglycémiant du </w:t>
      </w:r>
      <w:proofErr w:type="spellStart"/>
      <w:r w:rsidR="002D30F7">
        <w:rPr>
          <w:sz w:val="22"/>
        </w:rPr>
        <w:t>sémaglutide</w:t>
      </w:r>
      <w:proofErr w:type="spellEnd"/>
      <w:r w:rsidR="002D30F7">
        <w:rPr>
          <w:sz w:val="22"/>
        </w:rPr>
        <w:t xml:space="preserve">. Dans les heures qui suivent un repas, on observe une augmentation de la libération d’insuline, comparable avec ou sans </w:t>
      </w:r>
      <w:proofErr w:type="spellStart"/>
      <w:r w:rsidR="002D30F7">
        <w:rPr>
          <w:sz w:val="22"/>
        </w:rPr>
        <w:t>sémaglutide</w:t>
      </w:r>
      <w:proofErr w:type="spellEnd"/>
      <w:r w:rsidR="002D30F7">
        <w:rPr>
          <w:sz w:val="22"/>
        </w:rPr>
        <w:t xml:space="preserve">. Par contre, avec </w:t>
      </w:r>
      <w:proofErr w:type="spellStart"/>
      <w:r w:rsidR="002D30F7">
        <w:rPr>
          <w:sz w:val="22"/>
        </w:rPr>
        <w:t>sémaglutide</w:t>
      </w:r>
      <w:proofErr w:type="spellEnd"/>
      <w:r w:rsidR="002D30F7">
        <w:rPr>
          <w:sz w:val="22"/>
        </w:rPr>
        <w:t xml:space="preserve">, il n’y a presque plus d’augmentation de la quantité de glucagon dans le sang. On peut conclure que le </w:t>
      </w:r>
      <w:proofErr w:type="spellStart"/>
      <w:r w:rsidR="002D30F7">
        <w:rPr>
          <w:sz w:val="22"/>
        </w:rPr>
        <w:t>sémaglutide</w:t>
      </w:r>
      <w:proofErr w:type="spellEnd"/>
      <w:r w:rsidR="002D30F7">
        <w:rPr>
          <w:sz w:val="22"/>
        </w:rPr>
        <w:t>, en maintenant la concentration en insuline, hypoglycémiante, et en baissant celle du glucagon, hyperglycémiant, contribue à faire baisser globalement la glycémie. Son action favoriserait</w:t>
      </w:r>
      <w:r w:rsidR="00D123F8">
        <w:rPr>
          <w:sz w:val="22"/>
        </w:rPr>
        <w:t xml:space="preserve"> ainsi </w:t>
      </w:r>
      <w:r w:rsidR="002D30F7">
        <w:rPr>
          <w:sz w:val="22"/>
        </w:rPr>
        <w:t xml:space="preserve">le stockage du glucose dans le foie sous forme de glycogène. </w:t>
      </w:r>
    </w:p>
    <w:p w:rsidR="00104F91" w:rsidRDefault="002D30F7" w:rsidP="00EB798F">
      <w:pPr>
        <w:spacing w:line="240" w:lineRule="auto"/>
        <w:rPr>
          <w:sz w:val="22"/>
        </w:rPr>
      </w:pPr>
      <w:r>
        <w:rPr>
          <w:sz w:val="22"/>
        </w:rPr>
        <w:lastRenderedPageBreak/>
        <w:t xml:space="preserve">La fixation du </w:t>
      </w:r>
      <w:proofErr w:type="spellStart"/>
      <w:r>
        <w:rPr>
          <w:sz w:val="22"/>
        </w:rPr>
        <w:t>sémaglutide</w:t>
      </w:r>
      <w:proofErr w:type="spellEnd"/>
      <w:r>
        <w:rPr>
          <w:sz w:val="22"/>
        </w:rPr>
        <w:t xml:space="preserve"> sur les récepteurs de GLP1 aurait donc une action similaire à celle de GLP1 en inhibant la production de glucagon. </w:t>
      </w:r>
      <w:r w:rsidR="00D123F8">
        <w:rPr>
          <w:sz w:val="22"/>
        </w:rPr>
        <w:t xml:space="preserve">Le </w:t>
      </w:r>
      <w:proofErr w:type="spellStart"/>
      <w:r w:rsidR="00D123F8">
        <w:rPr>
          <w:sz w:val="22"/>
        </w:rPr>
        <w:t>sémaglutide</w:t>
      </w:r>
      <w:proofErr w:type="spellEnd"/>
      <w:r w:rsidR="00D123F8">
        <w:rPr>
          <w:sz w:val="22"/>
        </w:rPr>
        <w:t xml:space="preserve"> est un </w:t>
      </w:r>
      <w:r w:rsidR="00D123F8" w:rsidRPr="00D123F8">
        <w:rPr>
          <w:i/>
          <w:iCs/>
          <w:sz w:val="22"/>
        </w:rPr>
        <w:t>agoniste</w:t>
      </w:r>
      <w:r w:rsidR="00D123F8">
        <w:rPr>
          <w:sz w:val="22"/>
        </w:rPr>
        <w:t xml:space="preserve"> de GLP1. </w:t>
      </w:r>
      <w:r>
        <w:rPr>
          <w:sz w:val="22"/>
        </w:rPr>
        <w:t>Par</w:t>
      </w:r>
      <w:r w:rsidR="00D123F8">
        <w:rPr>
          <w:sz w:val="22"/>
        </w:rPr>
        <w:t xml:space="preserve"> </w:t>
      </w:r>
      <w:r>
        <w:rPr>
          <w:sz w:val="22"/>
        </w:rPr>
        <w:t>contre on ne voit pas d’effet significatif sur la sécrétion d’insuline.</w:t>
      </w:r>
    </w:p>
    <w:p w:rsidR="00104F91" w:rsidRDefault="00104F91" w:rsidP="00104F91">
      <w:pPr>
        <w:spacing w:line="240" w:lineRule="auto"/>
        <w:rPr>
          <w:sz w:val="22"/>
        </w:rPr>
      </w:pPr>
      <w:r w:rsidRPr="00104F91">
        <w:rPr>
          <w:sz w:val="22"/>
        </w:rPr>
        <w:t xml:space="preserve">Les mésusages (pour maigrir) </w:t>
      </w:r>
      <w:r>
        <w:rPr>
          <w:sz w:val="22"/>
        </w:rPr>
        <w:t xml:space="preserve">posent problème car ils </w:t>
      </w:r>
      <w:r w:rsidRPr="00104F91">
        <w:rPr>
          <w:sz w:val="22"/>
        </w:rPr>
        <w:t>entrainent une baisse de disponibilité du médicament pour les diabétiques qui en ont besoin</w:t>
      </w:r>
      <w:r w:rsidR="00611BA9">
        <w:rPr>
          <w:sz w:val="22"/>
        </w:rPr>
        <w:t>. De plus ils</w:t>
      </w:r>
      <w:r w:rsidRPr="00104F91">
        <w:rPr>
          <w:sz w:val="22"/>
        </w:rPr>
        <w:t xml:space="preserve"> peuvent provoquer des effets secondaires graves (troubles gastro-intestinaux, pancréatites ou hypoglycémies)</w:t>
      </w:r>
      <w:r>
        <w:rPr>
          <w:sz w:val="22"/>
        </w:rPr>
        <w:t>, potentiellement amplifiés par des erreurs de dosage en cas d’automédication</w:t>
      </w:r>
      <w:r w:rsidR="00611BA9">
        <w:rPr>
          <w:sz w:val="22"/>
        </w:rPr>
        <w:t xml:space="preserve">. </w:t>
      </w:r>
      <w:r w:rsidR="008712C4">
        <w:rPr>
          <w:sz w:val="22"/>
        </w:rPr>
        <w:t>L</w:t>
      </w:r>
      <w:r w:rsidR="00611BA9">
        <w:rPr>
          <w:sz w:val="22"/>
        </w:rPr>
        <w:t xml:space="preserve">es </w:t>
      </w:r>
      <w:r w:rsidR="008712C4">
        <w:rPr>
          <w:sz w:val="22"/>
        </w:rPr>
        <w:t>risques</w:t>
      </w:r>
      <w:r w:rsidR="00611BA9">
        <w:rPr>
          <w:sz w:val="22"/>
        </w:rPr>
        <w:t xml:space="preserve"> d’effet</w:t>
      </w:r>
      <w:r w:rsidR="008712C4">
        <w:rPr>
          <w:sz w:val="22"/>
        </w:rPr>
        <w:t>s</w:t>
      </w:r>
      <w:r w:rsidR="00611BA9">
        <w:rPr>
          <w:sz w:val="22"/>
        </w:rPr>
        <w:t xml:space="preserve"> secondaires</w:t>
      </w:r>
      <w:r w:rsidR="008712C4">
        <w:rPr>
          <w:sz w:val="22"/>
        </w:rPr>
        <w:t xml:space="preserve"> ne sont pas compensés par les </w:t>
      </w:r>
      <w:r w:rsidR="001C1C99">
        <w:rPr>
          <w:sz w:val="22"/>
        </w:rPr>
        <w:t>bénéfices</w:t>
      </w:r>
      <w:r w:rsidR="008712C4">
        <w:rPr>
          <w:sz w:val="22"/>
        </w:rPr>
        <w:t xml:space="preserve"> thérapeutiques attendus, comme c’est le cas normalement pour tout médicament, car ici la molécule est utilisée hors de son indication première.</w:t>
      </w:r>
    </w:p>
    <w:p w:rsidR="00104F91" w:rsidRPr="00104F91" w:rsidRDefault="00104F91" w:rsidP="00104F91">
      <w:pPr>
        <w:spacing w:line="240" w:lineRule="auto"/>
        <w:rPr>
          <w:sz w:val="22"/>
        </w:rPr>
      </w:pPr>
      <w:r>
        <w:rPr>
          <w:sz w:val="22"/>
        </w:rPr>
        <w:t xml:space="preserve">Pour ces raisons, </w:t>
      </w:r>
      <w:r w:rsidRPr="00104F91">
        <w:rPr>
          <w:sz w:val="22"/>
        </w:rPr>
        <w:t>l’Agence nationale de sécurité du médicament et des produits de santé (ANSM)</w:t>
      </w:r>
      <w:r>
        <w:rPr>
          <w:sz w:val="22"/>
        </w:rPr>
        <w:t xml:space="preserve"> recommande que </w:t>
      </w:r>
      <w:r w:rsidRPr="00104F91">
        <w:rPr>
          <w:sz w:val="22"/>
        </w:rPr>
        <w:t xml:space="preserve">le </w:t>
      </w:r>
      <w:proofErr w:type="spellStart"/>
      <w:r w:rsidRPr="00104F91">
        <w:rPr>
          <w:sz w:val="22"/>
        </w:rPr>
        <w:t>sémaglutide</w:t>
      </w:r>
      <w:proofErr w:type="spellEnd"/>
      <w:r w:rsidRPr="00104F91">
        <w:rPr>
          <w:sz w:val="22"/>
        </w:rPr>
        <w:t xml:space="preserve"> </w:t>
      </w:r>
      <w:r>
        <w:rPr>
          <w:sz w:val="22"/>
        </w:rPr>
        <w:t>soit</w:t>
      </w:r>
      <w:r w:rsidRPr="00104F91">
        <w:rPr>
          <w:sz w:val="22"/>
        </w:rPr>
        <w:t xml:space="preserve"> uniquement utilisé pour traiter le diabète de type 2.</w:t>
      </w:r>
    </w:p>
    <w:p w:rsidR="00EB798F" w:rsidRDefault="00EB798F" w:rsidP="00EB798F">
      <w:pPr>
        <w:spacing w:line="240" w:lineRule="auto"/>
        <w:rPr>
          <w:sz w:val="22"/>
        </w:rPr>
      </w:pPr>
    </w:p>
    <w:p w:rsidR="00D26BEF" w:rsidRPr="002E480A" w:rsidRDefault="00D26BEF" w:rsidP="00223FB6">
      <w:pPr>
        <w:pBdr>
          <w:bottom w:val="single" w:sz="4" w:space="1" w:color="auto"/>
        </w:pBdr>
        <w:shd w:val="clear" w:color="auto" w:fill="8DB3E2" w:themeFill="text2" w:themeFillTint="66"/>
        <w:spacing w:after="120" w:line="240" w:lineRule="auto"/>
        <w:rPr>
          <w:b/>
          <w:sz w:val="22"/>
        </w:rPr>
      </w:pPr>
      <w:r>
        <w:rPr>
          <w:b/>
          <w:sz w:val="22"/>
        </w:rPr>
        <w:t>Sources</w:t>
      </w:r>
    </w:p>
    <w:p w:rsidR="00D26BEF" w:rsidRDefault="00D26BEF" w:rsidP="00D26BEF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Publications scientifiques : </w:t>
      </w:r>
    </w:p>
    <w:p w:rsidR="00F3534F" w:rsidRPr="00F3534F" w:rsidRDefault="00DE5A6B" w:rsidP="00F3534F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rPr>
          <w:rStyle w:val="Lienhypertexte"/>
          <w:color w:val="auto"/>
          <w:sz w:val="22"/>
          <w:szCs w:val="22"/>
          <w:u w:val="none"/>
          <w:lang w:val="en-US"/>
        </w:rPr>
      </w:pPr>
      <w:hyperlink r:id="rId15" w:history="1">
        <w:r w:rsidR="00D26BEF" w:rsidRPr="00F3534F">
          <w:rPr>
            <w:rStyle w:val="Lienhypertexte"/>
            <w:sz w:val="22"/>
            <w:szCs w:val="22"/>
            <w:lang w:val="en-US"/>
          </w:rPr>
          <w:t xml:space="preserve">Müller </w:t>
        </w:r>
        <w:r w:rsidR="00D26BEF" w:rsidRPr="00F3534F">
          <w:rPr>
            <w:rStyle w:val="Lienhypertexte"/>
            <w:i/>
            <w:iCs/>
            <w:sz w:val="22"/>
            <w:szCs w:val="22"/>
            <w:lang w:val="en-US"/>
          </w:rPr>
          <w:t>et al</w:t>
        </w:r>
        <w:r w:rsidR="00D26BEF" w:rsidRPr="00F3534F">
          <w:rPr>
            <w:rStyle w:val="Lienhypertexte"/>
            <w:sz w:val="22"/>
            <w:szCs w:val="22"/>
            <w:lang w:val="en-US"/>
          </w:rPr>
          <w:t>., Glucagon-like peptide 1 (GLP-1), Molecular Metabolism 30:72-130 (2019)</w:t>
        </w:r>
      </w:hyperlink>
    </w:p>
    <w:p w:rsidR="00D26BEF" w:rsidRPr="00F3534F" w:rsidRDefault="00DE5A6B" w:rsidP="00F3534F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rPr>
          <w:sz w:val="22"/>
          <w:szCs w:val="22"/>
          <w:lang w:val="en-US"/>
        </w:rPr>
      </w:pPr>
      <w:hyperlink r:id="rId16" w:history="1">
        <w:r w:rsidR="00D26BEF" w:rsidRPr="00F3534F">
          <w:rPr>
            <w:rStyle w:val="Lienhypertexte"/>
            <w:sz w:val="22"/>
            <w:szCs w:val="22"/>
            <w:lang w:val="en-US"/>
          </w:rPr>
          <w:t xml:space="preserve">Dahl K, Brooks A, </w:t>
        </w:r>
        <w:proofErr w:type="spellStart"/>
        <w:r w:rsidR="00D26BEF" w:rsidRPr="00F3534F">
          <w:rPr>
            <w:rStyle w:val="Lienhypertexte"/>
            <w:sz w:val="22"/>
            <w:szCs w:val="22"/>
            <w:lang w:val="en-US"/>
          </w:rPr>
          <w:t>Almazedi</w:t>
        </w:r>
        <w:proofErr w:type="spellEnd"/>
        <w:r w:rsidR="00D26BEF" w:rsidRPr="00F3534F">
          <w:rPr>
            <w:rStyle w:val="Lienhypertexte"/>
            <w:sz w:val="22"/>
            <w:szCs w:val="22"/>
            <w:lang w:val="en-US"/>
          </w:rPr>
          <w:t xml:space="preserve"> F, Hoff ST, </w:t>
        </w:r>
        <w:proofErr w:type="spellStart"/>
        <w:r w:rsidR="00D26BEF" w:rsidRPr="00F3534F">
          <w:rPr>
            <w:rStyle w:val="Lienhypertexte"/>
            <w:sz w:val="22"/>
            <w:szCs w:val="22"/>
            <w:lang w:val="en-US"/>
          </w:rPr>
          <w:t>Boschini</w:t>
        </w:r>
        <w:proofErr w:type="spellEnd"/>
        <w:r w:rsidR="00D26BEF" w:rsidRPr="00F3534F">
          <w:rPr>
            <w:rStyle w:val="Lienhypertexte"/>
            <w:sz w:val="22"/>
            <w:szCs w:val="22"/>
            <w:lang w:val="en-US"/>
          </w:rPr>
          <w:t xml:space="preserve"> C, </w:t>
        </w:r>
        <w:proofErr w:type="spellStart"/>
        <w:r w:rsidR="00D26BEF" w:rsidRPr="00F3534F">
          <w:rPr>
            <w:rStyle w:val="Lienhypertexte"/>
            <w:sz w:val="22"/>
            <w:szCs w:val="22"/>
            <w:lang w:val="en-US"/>
          </w:rPr>
          <w:t>Baekdal</w:t>
        </w:r>
        <w:proofErr w:type="spellEnd"/>
        <w:r w:rsidR="00D26BEF" w:rsidRPr="00F3534F">
          <w:rPr>
            <w:rStyle w:val="Lienhypertexte"/>
            <w:sz w:val="22"/>
            <w:szCs w:val="22"/>
            <w:lang w:val="en-US"/>
          </w:rPr>
          <w:t xml:space="preserve"> TA. Oral </w:t>
        </w:r>
        <w:proofErr w:type="spellStart"/>
        <w:r w:rsidR="00D26BEF" w:rsidRPr="00F3534F">
          <w:rPr>
            <w:rStyle w:val="Lienhypertexte"/>
            <w:sz w:val="22"/>
            <w:szCs w:val="22"/>
            <w:lang w:val="en-US"/>
          </w:rPr>
          <w:t>semaglutide</w:t>
        </w:r>
        <w:proofErr w:type="spellEnd"/>
        <w:r w:rsidR="00D26BEF" w:rsidRPr="00F3534F">
          <w:rPr>
            <w:rStyle w:val="Lienhypertexte"/>
            <w:sz w:val="22"/>
            <w:szCs w:val="22"/>
            <w:lang w:val="en-US"/>
          </w:rPr>
          <w:t xml:space="preserve"> improves postprandial glucose and lipid metabolism, and delays gastric emptying, in subjects with type 2 diabetes. </w:t>
        </w:r>
        <w:proofErr w:type="spellStart"/>
        <w:r w:rsidR="00D26BEF" w:rsidRPr="00F3534F">
          <w:rPr>
            <w:rStyle w:val="Lienhypertexte"/>
            <w:sz w:val="22"/>
            <w:szCs w:val="22"/>
          </w:rPr>
          <w:t>Diabetes</w:t>
        </w:r>
        <w:proofErr w:type="spellEnd"/>
        <w:r w:rsidR="00D26BEF" w:rsidRPr="00F3534F">
          <w:rPr>
            <w:rStyle w:val="Lienhypertexte"/>
            <w:sz w:val="22"/>
            <w:szCs w:val="22"/>
          </w:rPr>
          <w:t xml:space="preserve"> </w:t>
        </w:r>
        <w:proofErr w:type="spellStart"/>
        <w:r w:rsidR="00D26BEF" w:rsidRPr="00F3534F">
          <w:rPr>
            <w:rStyle w:val="Lienhypertexte"/>
            <w:sz w:val="22"/>
            <w:szCs w:val="22"/>
          </w:rPr>
          <w:t>Obes</w:t>
        </w:r>
        <w:proofErr w:type="spellEnd"/>
        <w:r w:rsidR="00D26BEF" w:rsidRPr="00F3534F">
          <w:rPr>
            <w:rStyle w:val="Lienhypertexte"/>
            <w:sz w:val="22"/>
            <w:szCs w:val="22"/>
          </w:rPr>
          <w:t xml:space="preserve"> </w:t>
        </w:r>
        <w:proofErr w:type="spellStart"/>
        <w:r w:rsidR="00D26BEF" w:rsidRPr="00F3534F">
          <w:rPr>
            <w:rStyle w:val="Lienhypertexte"/>
            <w:sz w:val="22"/>
            <w:szCs w:val="22"/>
          </w:rPr>
          <w:t>Metab</w:t>
        </w:r>
        <w:proofErr w:type="spellEnd"/>
        <w:r w:rsidR="00D26BEF" w:rsidRPr="00F3534F">
          <w:rPr>
            <w:rStyle w:val="Lienhypertexte"/>
            <w:sz w:val="22"/>
            <w:szCs w:val="22"/>
          </w:rPr>
          <w:t xml:space="preserve">. 2021 </w:t>
        </w:r>
        <w:proofErr w:type="gramStart"/>
        <w:r w:rsidR="00D26BEF" w:rsidRPr="00F3534F">
          <w:rPr>
            <w:rStyle w:val="Lienhypertexte"/>
            <w:sz w:val="22"/>
            <w:szCs w:val="22"/>
          </w:rPr>
          <w:t>Jul;</w:t>
        </w:r>
        <w:proofErr w:type="gramEnd"/>
        <w:r w:rsidR="00D26BEF" w:rsidRPr="00F3534F">
          <w:rPr>
            <w:rStyle w:val="Lienhypertexte"/>
            <w:sz w:val="22"/>
            <w:szCs w:val="22"/>
          </w:rPr>
          <w:t>23(7):1594-1603.</w:t>
        </w:r>
      </w:hyperlink>
    </w:p>
    <w:p w:rsidR="00D26BEF" w:rsidRPr="00D26BEF" w:rsidRDefault="00D26BEF" w:rsidP="00D26BEF">
      <w:pPr>
        <w:rPr>
          <w:sz w:val="22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67B9" w:rsidRPr="00C979B6" w:rsidTr="00042303">
        <w:tc>
          <w:tcPr>
            <w:tcW w:w="9212" w:type="dxa"/>
          </w:tcPr>
          <w:p w:rsidR="00B8656F" w:rsidRDefault="00B8656F" w:rsidP="00B8656F">
            <w:pPr>
              <w:spacing w:after="240" w:line="276" w:lineRule="auto"/>
              <w:rPr>
                <w:rFonts w:cs="Arial"/>
                <w:snapToGrid w:val="0"/>
                <w:sz w:val="22"/>
                <w:szCs w:val="22"/>
              </w:rPr>
            </w:pPr>
            <w:r w:rsidRPr="00BA67B9">
              <w:rPr>
                <w:rFonts w:cs="Arial"/>
                <w:b/>
                <w:snapToGrid w:val="0"/>
                <w:sz w:val="22"/>
                <w:szCs w:val="22"/>
              </w:rPr>
              <w:t xml:space="preserve">Document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7</w:t>
            </w:r>
            <w:r w:rsidRPr="00BA67B9">
              <w:rPr>
                <w:rFonts w:cs="Arial"/>
                <w:snapToGrid w:val="0"/>
                <w:sz w:val="22"/>
                <w:szCs w:val="22"/>
              </w:rPr>
              <w:t xml:space="preserve"> :</w:t>
            </w:r>
            <w:r>
              <w:rPr>
                <w:rFonts w:cs="Arial"/>
                <w:snapToGrid w:val="0"/>
                <w:sz w:val="22"/>
                <w:szCs w:val="22"/>
              </w:rPr>
              <w:t xml:space="preserve"> </w:t>
            </w:r>
            <w:r w:rsidRPr="00BA67B9">
              <w:rPr>
                <w:rFonts w:cs="Arial"/>
                <w:snapToGrid w:val="0"/>
                <w:sz w:val="22"/>
                <w:szCs w:val="22"/>
              </w:rPr>
              <w:t>Description des modèles moléculaires</w:t>
            </w:r>
            <w:r>
              <w:rPr>
                <w:rFonts w:cs="Arial"/>
                <w:snapToGrid w:val="0"/>
                <w:sz w:val="22"/>
                <w:szCs w:val="22"/>
              </w:rPr>
              <w:t xml:space="preserve"> proposé au téléchargement.</w:t>
            </w:r>
          </w:p>
          <w:p w:rsidR="001418BE" w:rsidRDefault="00F3534F" w:rsidP="00B8656F">
            <w:pPr>
              <w:spacing w:line="276" w:lineRule="auto"/>
              <w:rPr>
                <w:rFonts w:cs="Arial"/>
                <w:snapToGrid w:val="0"/>
                <w:sz w:val="22"/>
                <w:szCs w:val="22"/>
              </w:rPr>
            </w:pPr>
            <w:r w:rsidRPr="00F3534F">
              <w:rPr>
                <w:rFonts w:cs="Arial"/>
                <w:b/>
                <w:snapToGrid w:val="0"/>
                <w:sz w:val="22"/>
                <w:szCs w:val="22"/>
              </w:rPr>
              <w:t>Glycogène phosphorylase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 xml:space="preserve"> </w:t>
            </w:r>
            <w:r w:rsidR="00042303">
              <w:rPr>
                <w:rFonts w:cs="Arial"/>
                <w:snapToGrid w:val="0"/>
                <w:sz w:val="22"/>
                <w:szCs w:val="22"/>
              </w:rPr>
              <w:t xml:space="preserve">: le modèle proposé est dérivé de la structure </w:t>
            </w:r>
            <w:hyperlink r:id="rId17" w:history="1">
              <w:r>
                <w:rPr>
                  <w:rStyle w:val="Lienhypertexte"/>
                  <w:rFonts w:cs="Arial"/>
                  <w:snapToGrid w:val="0"/>
                  <w:sz w:val="22"/>
                  <w:szCs w:val="22"/>
                </w:rPr>
                <w:t>8</w:t>
              </w:r>
              <w:r>
                <w:rPr>
                  <w:rStyle w:val="Lienhypertexte"/>
                </w:rPr>
                <w:t>EMS</w:t>
              </w:r>
            </w:hyperlink>
            <w:r w:rsidR="00042303">
              <w:rPr>
                <w:rFonts w:cs="Arial"/>
                <w:snapToGrid w:val="0"/>
                <w:sz w:val="22"/>
                <w:szCs w:val="22"/>
              </w:rPr>
              <w:t xml:space="preserve">, </w:t>
            </w:r>
            <w:r w:rsidR="000458BE">
              <w:rPr>
                <w:rFonts w:cs="Arial"/>
                <w:snapToGrid w:val="0"/>
                <w:sz w:val="22"/>
                <w:szCs w:val="22"/>
              </w:rPr>
              <w:t>correspondant à l’enzyme hépatique humaine</w:t>
            </w:r>
            <w:r w:rsidR="00042303">
              <w:rPr>
                <w:rFonts w:cs="Arial"/>
                <w:snapToGrid w:val="0"/>
                <w:sz w:val="22"/>
                <w:szCs w:val="22"/>
              </w:rPr>
              <w:t>.</w:t>
            </w:r>
            <w:r w:rsidR="001418BE">
              <w:rPr>
                <w:rFonts w:cs="Arial"/>
                <w:snapToGrid w:val="0"/>
                <w:sz w:val="22"/>
                <w:szCs w:val="22"/>
              </w:rPr>
              <w:t xml:space="preserve"> </w:t>
            </w:r>
          </w:p>
          <w:p w:rsidR="00B8656F" w:rsidRPr="00101A72" w:rsidRDefault="00B8656F" w:rsidP="00B8656F">
            <w:pPr>
              <w:spacing w:line="276" w:lineRule="auto"/>
              <w:rPr>
                <w:rFonts w:cs="Arial"/>
                <w:snapToGrid w:val="0"/>
                <w:sz w:val="16"/>
                <w:szCs w:val="16"/>
              </w:rPr>
            </w:pPr>
          </w:p>
          <w:p w:rsidR="00042303" w:rsidRPr="00BA67B9" w:rsidRDefault="008A3C75" w:rsidP="00042303">
            <w:pPr>
              <w:spacing w:line="276" w:lineRule="auto"/>
              <w:rPr>
                <w:rFonts w:cs="Arial"/>
                <w:snapToGrid w:val="0"/>
                <w:sz w:val="22"/>
                <w:szCs w:val="22"/>
              </w:rPr>
            </w:pPr>
            <w:r w:rsidRPr="008A3C75">
              <w:rPr>
                <w:rFonts w:cs="Arial"/>
                <w:b/>
                <w:snapToGrid w:val="0"/>
                <w:sz w:val="22"/>
                <w:szCs w:val="22"/>
              </w:rPr>
              <w:t>Glycogène synthase</w:t>
            </w:r>
            <w:r w:rsidR="00F444E1">
              <w:rPr>
                <w:rFonts w:cs="Arial"/>
                <w:b/>
                <w:snapToGrid w:val="0"/>
                <w:sz w:val="22"/>
                <w:szCs w:val="22"/>
              </w:rPr>
              <w:t xml:space="preserve"> </w:t>
            </w:r>
            <w:r w:rsidR="00042303">
              <w:rPr>
                <w:rFonts w:cs="Arial"/>
                <w:snapToGrid w:val="0"/>
                <w:sz w:val="22"/>
                <w:szCs w:val="22"/>
              </w:rPr>
              <w:t xml:space="preserve">: le modèle proposé est dérivé de la structure </w:t>
            </w:r>
            <w:hyperlink r:id="rId18" w:history="1">
              <w:r w:rsidRPr="008A3C75">
                <w:rPr>
                  <w:rStyle w:val="Lienhypertexte"/>
                </w:rPr>
                <w:t>7Q12</w:t>
              </w:r>
            </w:hyperlink>
            <w:r>
              <w:rPr>
                <w:rFonts w:cs="Arial"/>
                <w:snapToGrid w:val="0"/>
                <w:sz w:val="22"/>
                <w:szCs w:val="22"/>
              </w:rPr>
              <w:t xml:space="preserve">, correspondant à l’enzyme musculaire humaine (tétramère), en complexe avec la Glycogénine. </w:t>
            </w:r>
            <w:r w:rsidR="00042303">
              <w:rPr>
                <w:rFonts w:cs="Arial"/>
                <w:snapToGrid w:val="0"/>
                <w:sz w:val="22"/>
                <w:szCs w:val="22"/>
              </w:rPr>
              <w:t xml:space="preserve">Pour simplifier l'utilisation par les élèves, il a été remanié en supprimant les chaines de </w:t>
            </w:r>
            <w:r>
              <w:rPr>
                <w:rFonts w:cs="Arial"/>
                <w:snapToGrid w:val="0"/>
                <w:sz w:val="22"/>
                <w:szCs w:val="22"/>
              </w:rPr>
              <w:t>Glycogénine</w:t>
            </w:r>
            <w:r w:rsidR="00042303">
              <w:rPr>
                <w:rFonts w:cs="Arial"/>
                <w:snapToGrid w:val="0"/>
                <w:sz w:val="22"/>
                <w:szCs w:val="22"/>
              </w:rPr>
              <w:t>.</w:t>
            </w:r>
          </w:p>
          <w:p w:rsidR="00CB609F" w:rsidRPr="00101A72" w:rsidRDefault="00CB609F" w:rsidP="00BA67B9">
            <w:pPr>
              <w:spacing w:line="276" w:lineRule="auto"/>
              <w:rPr>
                <w:rFonts w:cs="Arial"/>
                <w:snapToGrid w:val="0"/>
                <w:sz w:val="16"/>
                <w:szCs w:val="16"/>
              </w:rPr>
            </w:pPr>
          </w:p>
          <w:p w:rsidR="00F444E1" w:rsidRDefault="00F444E1" w:rsidP="00BA67B9">
            <w:pPr>
              <w:spacing w:line="276" w:lineRule="auto"/>
              <w:rPr>
                <w:rFonts w:cs="Arial"/>
                <w:snapToGrid w:val="0"/>
                <w:sz w:val="22"/>
                <w:szCs w:val="22"/>
              </w:rPr>
            </w:pPr>
            <w:r w:rsidRPr="00F444E1">
              <w:rPr>
                <w:rFonts w:cs="Arial"/>
                <w:b/>
                <w:bCs/>
                <w:snapToGrid w:val="0"/>
                <w:sz w:val="22"/>
                <w:szCs w:val="22"/>
              </w:rPr>
              <w:t>Récepteur de GLP1</w:t>
            </w:r>
            <w:r>
              <w:rPr>
                <w:rFonts w:cs="Arial"/>
                <w:snapToGrid w:val="0"/>
                <w:sz w:val="22"/>
                <w:szCs w:val="22"/>
              </w:rPr>
              <w:t xml:space="preserve"> : le modèle proposé est dérivé de la structure </w:t>
            </w:r>
            <w:hyperlink r:id="rId19" w:history="1">
              <w:r w:rsidRPr="00F444E1">
                <w:rPr>
                  <w:rStyle w:val="Lienhypertexte"/>
                </w:rPr>
                <w:t>7KI0</w:t>
              </w:r>
            </w:hyperlink>
            <w:r>
              <w:rPr>
                <w:rFonts w:cs="Arial"/>
                <w:snapToGrid w:val="0"/>
                <w:sz w:val="22"/>
                <w:szCs w:val="22"/>
              </w:rPr>
              <w:t xml:space="preserve">, correspondant à au récepteur de GLP1 humain </w:t>
            </w:r>
            <w:r w:rsidR="003848EE">
              <w:rPr>
                <w:rFonts w:cs="Arial"/>
                <w:snapToGrid w:val="0"/>
                <w:sz w:val="22"/>
                <w:szCs w:val="22"/>
              </w:rPr>
              <w:t xml:space="preserve">couplé aux protéines G de signalisation et en complexe </w:t>
            </w:r>
            <w:r>
              <w:rPr>
                <w:rFonts w:cs="Arial"/>
                <w:snapToGrid w:val="0"/>
                <w:sz w:val="22"/>
                <w:szCs w:val="22"/>
              </w:rPr>
              <w:t xml:space="preserve">avec l’agoniste </w:t>
            </w:r>
            <w:proofErr w:type="spellStart"/>
            <w:r>
              <w:rPr>
                <w:rFonts w:cs="Arial"/>
                <w:snapToGrid w:val="0"/>
                <w:sz w:val="22"/>
                <w:szCs w:val="22"/>
              </w:rPr>
              <w:t>sémaglutide</w:t>
            </w:r>
            <w:proofErr w:type="spellEnd"/>
            <w:r>
              <w:rPr>
                <w:rFonts w:cs="Arial"/>
                <w:snapToGrid w:val="0"/>
                <w:sz w:val="22"/>
                <w:szCs w:val="22"/>
              </w:rPr>
              <w:t xml:space="preserve">. Pour simplifier l'utilisation par les élèves, il a été remanié en supprimant </w:t>
            </w:r>
            <w:r w:rsidR="003848EE">
              <w:rPr>
                <w:rFonts w:cs="Arial"/>
                <w:snapToGrid w:val="0"/>
                <w:sz w:val="22"/>
                <w:szCs w:val="22"/>
              </w:rPr>
              <w:t xml:space="preserve">les chaines des protéines G et </w:t>
            </w:r>
            <w:r>
              <w:rPr>
                <w:rFonts w:cs="Arial"/>
                <w:snapToGrid w:val="0"/>
                <w:sz w:val="22"/>
                <w:szCs w:val="22"/>
              </w:rPr>
              <w:t>les molécules non protéiques telles que l'eau.</w:t>
            </w:r>
          </w:p>
          <w:p w:rsidR="00F444E1" w:rsidRPr="00101A72" w:rsidRDefault="00F444E1" w:rsidP="00BA67B9">
            <w:pPr>
              <w:spacing w:line="276" w:lineRule="auto"/>
              <w:rPr>
                <w:rFonts w:cs="Arial"/>
                <w:snapToGrid w:val="0"/>
                <w:sz w:val="16"/>
                <w:szCs w:val="22"/>
              </w:rPr>
            </w:pPr>
          </w:p>
          <w:p w:rsidR="00A63088" w:rsidRPr="00BA67B9" w:rsidRDefault="00F444E1" w:rsidP="00A63088">
            <w:pPr>
              <w:spacing w:line="276" w:lineRule="auto"/>
              <w:rPr>
                <w:rFonts w:cs="Arial"/>
                <w:snapToGrid w:val="0"/>
                <w:sz w:val="22"/>
                <w:szCs w:val="22"/>
              </w:rPr>
            </w:pPr>
            <w:r w:rsidRPr="00F444E1">
              <w:rPr>
                <w:rFonts w:cs="Arial"/>
                <w:b/>
                <w:bCs/>
                <w:snapToGrid w:val="0"/>
                <w:sz w:val="22"/>
                <w:szCs w:val="22"/>
              </w:rPr>
              <w:t>Récepteur de l'insuline</w:t>
            </w:r>
            <w:r>
              <w:rPr>
                <w:rFonts w:cs="Arial"/>
                <w:snapToGrid w:val="0"/>
                <w:sz w:val="22"/>
                <w:szCs w:val="22"/>
              </w:rPr>
              <w:t> :</w:t>
            </w:r>
            <w:r w:rsidR="00A63088">
              <w:rPr>
                <w:rFonts w:cs="Arial"/>
                <w:snapToGrid w:val="0"/>
                <w:sz w:val="22"/>
                <w:szCs w:val="22"/>
              </w:rPr>
              <w:t xml:space="preserve"> le modèle proposé est dérivé de la structure </w:t>
            </w:r>
            <w:hyperlink r:id="rId20" w:history="1">
              <w:r w:rsidR="00A63088">
                <w:rPr>
                  <w:rStyle w:val="Lienhypertexte"/>
                </w:rPr>
                <w:t>6PXV</w:t>
              </w:r>
            </w:hyperlink>
            <w:r w:rsidR="00A63088">
              <w:rPr>
                <w:rFonts w:cs="Arial"/>
                <w:snapToGrid w:val="0"/>
                <w:sz w:val="22"/>
                <w:szCs w:val="22"/>
              </w:rPr>
              <w:t>, correspondant au récepteur humain (dimère), en complexe avec quatre molécules d’insuline. Pour simplifier l'utilisation par les élèves, il a été remanié en supprimant les chaines d’insuline.</w:t>
            </w:r>
          </w:p>
          <w:p w:rsidR="00F444E1" w:rsidRPr="00101A72" w:rsidRDefault="00F444E1" w:rsidP="00BA67B9">
            <w:pPr>
              <w:spacing w:line="276" w:lineRule="auto"/>
              <w:rPr>
                <w:rFonts w:cs="Arial"/>
                <w:snapToGrid w:val="0"/>
                <w:sz w:val="16"/>
                <w:szCs w:val="22"/>
              </w:rPr>
            </w:pPr>
          </w:p>
          <w:p w:rsidR="00F444E1" w:rsidRDefault="00F444E1" w:rsidP="00BA67B9">
            <w:pPr>
              <w:spacing w:line="276" w:lineRule="auto"/>
              <w:rPr>
                <w:rFonts w:cs="Arial"/>
                <w:snapToGrid w:val="0"/>
                <w:sz w:val="22"/>
                <w:szCs w:val="22"/>
              </w:rPr>
            </w:pPr>
            <w:r w:rsidRPr="00F444E1">
              <w:rPr>
                <w:rFonts w:cs="Arial"/>
                <w:b/>
                <w:bCs/>
                <w:snapToGrid w:val="0"/>
                <w:sz w:val="22"/>
                <w:szCs w:val="22"/>
              </w:rPr>
              <w:t>Récepteur du glucagon</w:t>
            </w:r>
            <w:r>
              <w:rPr>
                <w:rFonts w:cs="Arial"/>
                <w:snapToGrid w:val="0"/>
                <w:sz w:val="22"/>
                <w:szCs w:val="22"/>
              </w:rPr>
              <w:t> :</w:t>
            </w:r>
            <w:r w:rsidR="005C5078">
              <w:rPr>
                <w:rFonts w:cs="Arial"/>
                <w:snapToGrid w:val="0"/>
                <w:sz w:val="22"/>
                <w:szCs w:val="22"/>
              </w:rPr>
              <w:t xml:space="preserve"> le modèle proposé est dérivé de la structure </w:t>
            </w:r>
            <w:hyperlink r:id="rId21" w:history="1">
              <w:r w:rsidR="005C5078">
                <w:rPr>
                  <w:rStyle w:val="Lienhypertexte"/>
                </w:rPr>
                <w:t>7V35</w:t>
              </w:r>
            </w:hyperlink>
            <w:r w:rsidR="005C5078">
              <w:rPr>
                <w:rFonts w:cs="Arial"/>
                <w:snapToGrid w:val="0"/>
                <w:sz w:val="22"/>
                <w:szCs w:val="22"/>
              </w:rPr>
              <w:t>, correspondant à au récepteur du glucagon humain couplé aux protéines G de signalisation et en complexe avec un agoniste de synthèse. Pour simplifier l'utilisation par les élèves, il a été remanié en supprimant les chaines des protéines G et celle de l’agoniste.</w:t>
            </w:r>
          </w:p>
          <w:p w:rsidR="00F444E1" w:rsidRPr="00101A72" w:rsidRDefault="00F444E1" w:rsidP="00BA67B9">
            <w:pPr>
              <w:spacing w:line="276" w:lineRule="auto"/>
              <w:rPr>
                <w:rFonts w:cs="Arial"/>
                <w:snapToGrid w:val="0"/>
                <w:sz w:val="16"/>
                <w:szCs w:val="22"/>
              </w:rPr>
            </w:pPr>
            <w:bookmarkStart w:id="0" w:name="_GoBack"/>
            <w:bookmarkEnd w:id="0"/>
          </w:p>
          <w:p w:rsidR="00BA67B9" w:rsidRPr="00BA67B9" w:rsidRDefault="00F444E1" w:rsidP="00B8656F">
            <w:pPr>
              <w:spacing w:line="276" w:lineRule="auto"/>
              <w:rPr>
                <w:rFonts w:cs="Arial"/>
                <w:snapToGrid w:val="0"/>
                <w:sz w:val="22"/>
                <w:szCs w:val="22"/>
              </w:rPr>
            </w:pPr>
            <w:r w:rsidRPr="00F444E1">
              <w:rPr>
                <w:rFonts w:cs="Arial"/>
                <w:b/>
                <w:bCs/>
                <w:snapToGrid w:val="0"/>
                <w:sz w:val="22"/>
                <w:szCs w:val="22"/>
              </w:rPr>
              <w:t>Transporteur du glucose</w:t>
            </w:r>
            <w:r>
              <w:rPr>
                <w:rFonts w:cs="Arial"/>
                <w:snapToGrid w:val="0"/>
                <w:sz w:val="22"/>
                <w:szCs w:val="22"/>
              </w:rPr>
              <w:t> :</w:t>
            </w:r>
            <w:r w:rsidR="0026142E">
              <w:rPr>
                <w:rFonts w:cs="Arial"/>
                <w:snapToGrid w:val="0"/>
                <w:sz w:val="22"/>
                <w:szCs w:val="22"/>
              </w:rPr>
              <w:t xml:space="preserve"> le modèle proposé est dérivé de la structure </w:t>
            </w:r>
            <w:hyperlink r:id="rId22" w:history="1">
              <w:r w:rsidR="0026142E" w:rsidRPr="00F444E1">
                <w:rPr>
                  <w:rStyle w:val="Lienhypertexte"/>
                </w:rPr>
                <w:t>7</w:t>
              </w:r>
              <w:r w:rsidR="0026142E">
                <w:rPr>
                  <w:rStyle w:val="Lienhypertexte"/>
                </w:rPr>
                <w:t>WSM</w:t>
              </w:r>
            </w:hyperlink>
            <w:r w:rsidR="0026142E">
              <w:rPr>
                <w:rFonts w:cs="Arial"/>
                <w:snapToGrid w:val="0"/>
                <w:sz w:val="22"/>
                <w:szCs w:val="22"/>
              </w:rPr>
              <w:t>, correspondant à au transporteur humain GLUT4 en complexe avec un inhibiteur. Pour simplifier l'utilisation par les élèves, il a été remanié en supprimant l’inhibiteur et les molécules non protéiques telles les chaines de sucres (glycosylation).</w:t>
            </w:r>
          </w:p>
        </w:tc>
      </w:tr>
    </w:tbl>
    <w:p w:rsidR="00BA67B9" w:rsidRPr="00C979B6" w:rsidRDefault="00BA67B9" w:rsidP="00BA67B9">
      <w:pPr>
        <w:rPr>
          <w:sz w:val="22"/>
          <w:szCs w:val="22"/>
        </w:rPr>
      </w:pPr>
    </w:p>
    <w:sectPr w:rsidR="00BA67B9" w:rsidRPr="00C979B6" w:rsidSect="00C979B6">
      <w:footerReference w:type="default" r:id="rId23"/>
      <w:pgSz w:w="11906" w:h="16838"/>
      <w:pgMar w:top="1417" w:right="1417" w:bottom="1417" w:left="1417" w:header="708" w:footer="3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568" w:rsidRDefault="003D0568" w:rsidP="00C979B6">
      <w:pPr>
        <w:spacing w:line="240" w:lineRule="auto"/>
      </w:pPr>
      <w:r>
        <w:separator/>
      </w:r>
    </w:p>
  </w:endnote>
  <w:endnote w:type="continuationSeparator" w:id="0">
    <w:p w:rsidR="003D0568" w:rsidRDefault="003D0568" w:rsidP="00C979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859012"/>
      <w:docPartObj>
        <w:docPartGallery w:val="Page Numbers (Bottom of Page)"/>
        <w:docPartUnique/>
      </w:docPartObj>
    </w:sdtPr>
    <w:sdtEndPr/>
    <w:sdtContent>
      <w:p w:rsidR="00062F07" w:rsidRDefault="0095321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5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2F07" w:rsidRDefault="00062F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568" w:rsidRDefault="003D0568" w:rsidP="00C979B6">
      <w:pPr>
        <w:spacing w:line="240" w:lineRule="auto"/>
      </w:pPr>
      <w:r>
        <w:separator/>
      </w:r>
    </w:p>
  </w:footnote>
  <w:footnote w:type="continuationSeparator" w:id="0">
    <w:p w:rsidR="003D0568" w:rsidRDefault="003D0568" w:rsidP="00C979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E3DDE"/>
    <w:multiLevelType w:val="hybridMultilevel"/>
    <w:tmpl w:val="D1E4CCE6"/>
    <w:lvl w:ilvl="0" w:tplc="1F100E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4506B"/>
    <w:multiLevelType w:val="hybridMultilevel"/>
    <w:tmpl w:val="B844B60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7F16664"/>
    <w:multiLevelType w:val="hybridMultilevel"/>
    <w:tmpl w:val="929626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24C53"/>
    <w:multiLevelType w:val="hybridMultilevel"/>
    <w:tmpl w:val="78AE32D2"/>
    <w:lvl w:ilvl="0" w:tplc="662E4B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427EE"/>
    <w:multiLevelType w:val="hybridMultilevel"/>
    <w:tmpl w:val="20165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63DA7"/>
    <w:multiLevelType w:val="hybridMultilevel"/>
    <w:tmpl w:val="D37E2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36D87"/>
    <w:multiLevelType w:val="hybridMultilevel"/>
    <w:tmpl w:val="D2106C72"/>
    <w:lvl w:ilvl="0" w:tplc="BFD843C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B0F42364">
      <w:numFmt w:val="bullet"/>
      <w:lvlText w:val="•"/>
      <w:lvlJc w:val="left"/>
      <w:pPr>
        <w:ind w:left="1440" w:hanging="360"/>
      </w:pPr>
      <w:rPr>
        <w:rFonts w:ascii="Calibri" w:eastAsiaTheme="minorHAnsi" w:hAnsi="Calibri" w:cs="Times New Roman" w:hint="default"/>
        <w:b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D77FA"/>
    <w:multiLevelType w:val="hybridMultilevel"/>
    <w:tmpl w:val="FDCC2EDA"/>
    <w:lvl w:ilvl="0" w:tplc="D7B03410">
      <w:numFmt w:val="bullet"/>
      <w:lvlText w:val="-"/>
      <w:lvlJc w:val="left"/>
      <w:pPr>
        <w:ind w:left="199" w:hanging="171"/>
      </w:pPr>
      <w:rPr>
        <w:rFonts w:ascii="Calibri" w:eastAsia="Calibri" w:hAnsi="Calibri" w:cs="Calibri" w:hint="default"/>
        <w:b/>
        <w:bCs/>
        <w:color w:val="0061AC"/>
        <w:spacing w:val="-12"/>
        <w:w w:val="100"/>
        <w:sz w:val="24"/>
        <w:szCs w:val="24"/>
        <w:lang w:val="fr-FR" w:eastAsia="fr-FR" w:bidi="fr-FR"/>
      </w:rPr>
    </w:lvl>
    <w:lvl w:ilvl="1" w:tplc="A7306DA2">
      <w:numFmt w:val="bullet"/>
      <w:lvlText w:val="•"/>
      <w:lvlJc w:val="left"/>
      <w:pPr>
        <w:ind w:left="1087" w:hanging="171"/>
      </w:pPr>
      <w:rPr>
        <w:rFonts w:hint="default"/>
        <w:lang w:val="fr-FR" w:eastAsia="fr-FR" w:bidi="fr-FR"/>
      </w:rPr>
    </w:lvl>
    <w:lvl w:ilvl="2" w:tplc="6188F5AA">
      <w:numFmt w:val="bullet"/>
      <w:lvlText w:val="•"/>
      <w:lvlJc w:val="left"/>
      <w:pPr>
        <w:ind w:left="1974" w:hanging="171"/>
      </w:pPr>
      <w:rPr>
        <w:rFonts w:hint="default"/>
        <w:lang w:val="fr-FR" w:eastAsia="fr-FR" w:bidi="fr-FR"/>
      </w:rPr>
    </w:lvl>
    <w:lvl w:ilvl="3" w:tplc="1786D04C">
      <w:numFmt w:val="bullet"/>
      <w:lvlText w:val="•"/>
      <w:lvlJc w:val="left"/>
      <w:pPr>
        <w:ind w:left="2862" w:hanging="171"/>
      </w:pPr>
      <w:rPr>
        <w:rFonts w:hint="default"/>
        <w:lang w:val="fr-FR" w:eastAsia="fr-FR" w:bidi="fr-FR"/>
      </w:rPr>
    </w:lvl>
    <w:lvl w:ilvl="4" w:tplc="6B16C2F4">
      <w:numFmt w:val="bullet"/>
      <w:lvlText w:val="•"/>
      <w:lvlJc w:val="left"/>
      <w:pPr>
        <w:ind w:left="3749" w:hanging="171"/>
      </w:pPr>
      <w:rPr>
        <w:rFonts w:hint="default"/>
        <w:lang w:val="fr-FR" w:eastAsia="fr-FR" w:bidi="fr-FR"/>
      </w:rPr>
    </w:lvl>
    <w:lvl w:ilvl="5" w:tplc="865E455E">
      <w:numFmt w:val="bullet"/>
      <w:lvlText w:val="•"/>
      <w:lvlJc w:val="left"/>
      <w:pPr>
        <w:ind w:left="4636" w:hanging="171"/>
      </w:pPr>
      <w:rPr>
        <w:rFonts w:hint="default"/>
        <w:lang w:val="fr-FR" w:eastAsia="fr-FR" w:bidi="fr-FR"/>
      </w:rPr>
    </w:lvl>
    <w:lvl w:ilvl="6" w:tplc="BB6E17EA">
      <w:numFmt w:val="bullet"/>
      <w:lvlText w:val="•"/>
      <w:lvlJc w:val="left"/>
      <w:pPr>
        <w:ind w:left="5524" w:hanging="171"/>
      </w:pPr>
      <w:rPr>
        <w:rFonts w:hint="default"/>
        <w:lang w:val="fr-FR" w:eastAsia="fr-FR" w:bidi="fr-FR"/>
      </w:rPr>
    </w:lvl>
    <w:lvl w:ilvl="7" w:tplc="B0BC9C96">
      <w:numFmt w:val="bullet"/>
      <w:lvlText w:val="•"/>
      <w:lvlJc w:val="left"/>
      <w:pPr>
        <w:ind w:left="6411" w:hanging="171"/>
      </w:pPr>
      <w:rPr>
        <w:rFonts w:hint="default"/>
        <w:lang w:val="fr-FR" w:eastAsia="fr-FR" w:bidi="fr-FR"/>
      </w:rPr>
    </w:lvl>
    <w:lvl w:ilvl="8" w:tplc="9690A8DC">
      <w:numFmt w:val="bullet"/>
      <w:lvlText w:val="•"/>
      <w:lvlJc w:val="left"/>
      <w:pPr>
        <w:ind w:left="7298" w:hanging="171"/>
      </w:pPr>
      <w:rPr>
        <w:rFonts w:hint="default"/>
        <w:lang w:val="fr-FR" w:eastAsia="fr-FR" w:bidi="fr-FR"/>
      </w:rPr>
    </w:lvl>
  </w:abstractNum>
  <w:abstractNum w:abstractNumId="8" w15:restartNumberingAfterBreak="0">
    <w:nsid w:val="308222E2"/>
    <w:multiLevelType w:val="hybridMultilevel"/>
    <w:tmpl w:val="10DE5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04FD2"/>
    <w:multiLevelType w:val="hybridMultilevel"/>
    <w:tmpl w:val="02445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A771F"/>
    <w:multiLevelType w:val="hybridMultilevel"/>
    <w:tmpl w:val="34CE4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31663"/>
    <w:multiLevelType w:val="hybridMultilevel"/>
    <w:tmpl w:val="26200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50401"/>
    <w:multiLevelType w:val="hybridMultilevel"/>
    <w:tmpl w:val="D1E4CCE6"/>
    <w:lvl w:ilvl="0" w:tplc="1F100E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0263F"/>
    <w:multiLevelType w:val="hybridMultilevel"/>
    <w:tmpl w:val="DA987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C3724"/>
    <w:multiLevelType w:val="hybridMultilevel"/>
    <w:tmpl w:val="764E3042"/>
    <w:lvl w:ilvl="0" w:tplc="1F100E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83103"/>
    <w:multiLevelType w:val="hybridMultilevel"/>
    <w:tmpl w:val="FCC234EA"/>
    <w:lvl w:ilvl="0" w:tplc="6F30119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  <w:b/>
        <w:color w:val="17818E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6483C"/>
    <w:multiLevelType w:val="hybridMultilevel"/>
    <w:tmpl w:val="D17C18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D47AFA"/>
    <w:multiLevelType w:val="hybridMultilevel"/>
    <w:tmpl w:val="43FEDDD0"/>
    <w:lvl w:ilvl="0" w:tplc="FBEC4B0A">
      <w:numFmt w:val="bullet"/>
      <w:lvlText w:val=""/>
      <w:lvlJc w:val="left"/>
      <w:pPr>
        <w:ind w:left="496" w:hanging="360"/>
      </w:pPr>
      <w:rPr>
        <w:rFonts w:ascii="Symbol" w:eastAsia="Symbol" w:hAnsi="Symbol" w:cs="Symbol" w:hint="default"/>
        <w:color w:val="17818E"/>
        <w:w w:val="100"/>
        <w:sz w:val="22"/>
        <w:szCs w:val="22"/>
        <w:lang w:val="fr-FR" w:eastAsia="fr-FR" w:bidi="fr-FR"/>
      </w:rPr>
    </w:lvl>
    <w:lvl w:ilvl="1" w:tplc="48E6330E">
      <w:numFmt w:val="bullet"/>
      <w:lvlText w:val="•"/>
      <w:lvlJc w:val="left"/>
      <w:pPr>
        <w:ind w:left="1386" w:hanging="360"/>
      </w:pPr>
      <w:rPr>
        <w:rFonts w:hint="default"/>
        <w:lang w:val="fr-FR" w:eastAsia="fr-FR" w:bidi="fr-FR"/>
      </w:rPr>
    </w:lvl>
    <w:lvl w:ilvl="2" w:tplc="F220522A">
      <w:numFmt w:val="bullet"/>
      <w:lvlText w:val="•"/>
      <w:lvlJc w:val="left"/>
      <w:pPr>
        <w:ind w:left="2273" w:hanging="360"/>
      </w:pPr>
      <w:rPr>
        <w:rFonts w:hint="default"/>
        <w:lang w:val="fr-FR" w:eastAsia="fr-FR" w:bidi="fr-FR"/>
      </w:rPr>
    </w:lvl>
    <w:lvl w:ilvl="3" w:tplc="9056C44A">
      <w:numFmt w:val="bullet"/>
      <w:lvlText w:val="•"/>
      <w:lvlJc w:val="left"/>
      <w:pPr>
        <w:ind w:left="3159" w:hanging="360"/>
      </w:pPr>
      <w:rPr>
        <w:rFonts w:hint="default"/>
        <w:lang w:val="fr-FR" w:eastAsia="fr-FR" w:bidi="fr-FR"/>
      </w:rPr>
    </w:lvl>
    <w:lvl w:ilvl="4" w:tplc="E1341ECC">
      <w:numFmt w:val="bullet"/>
      <w:lvlText w:val="•"/>
      <w:lvlJc w:val="left"/>
      <w:pPr>
        <w:ind w:left="4046" w:hanging="360"/>
      </w:pPr>
      <w:rPr>
        <w:rFonts w:hint="default"/>
        <w:lang w:val="fr-FR" w:eastAsia="fr-FR" w:bidi="fr-FR"/>
      </w:rPr>
    </w:lvl>
    <w:lvl w:ilvl="5" w:tplc="C748A0DC">
      <w:numFmt w:val="bullet"/>
      <w:lvlText w:val="•"/>
      <w:lvlJc w:val="left"/>
      <w:pPr>
        <w:ind w:left="4933" w:hanging="360"/>
      </w:pPr>
      <w:rPr>
        <w:rFonts w:hint="default"/>
        <w:lang w:val="fr-FR" w:eastAsia="fr-FR" w:bidi="fr-FR"/>
      </w:rPr>
    </w:lvl>
    <w:lvl w:ilvl="6" w:tplc="984C11DE">
      <w:numFmt w:val="bullet"/>
      <w:lvlText w:val="•"/>
      <w:lvlJc w:val="left"/>
      <w:pPr>
        <w:ind w:left="5819" w:hanging="360"/>
      </w:pPr>
      <w:rPr>
        <w:rFonts w:hint="default"/>
        <w:lang w:val="fr-FR" w:eastAsia="fr-FR" w:bidi="fr-FR"/>
      </w:rPr>
    </w:lvl>
    <w:lvl w:ilvl="7" w:tplc="EB6AF1BE">
      <w:numFmt w:val="bullet"/>
      <w:lvlText w:val="•"/>
      <w:lvlJc w:val="left"/>
      <w:pPr>
        <w:ind w:left="6706" w:hanging="360"/>
      </w:pPr>
      <w:rPr>
        <w:rFonts w:hint="default"/>
        <w:lang w:val="fr-FR" w:eastAsia="fr-FR" w:bidi="fr-FR"/>
      </w:rPr>
    </w:lvl>
    <w:lvl w:ilvl="8" w:tplc="B0B8360C">
      <w:numFmt w:val="bullet"/>
      <w:lvlText w:val="•"/>
      <w:lvlJc w:val="left"/>
      <w:pPr>
        <w:ind w:left="7593" w:hanging="360"/>
      </w:pPr>
      <w:rPr>
        <w:rFonts w:hint="default"/>
        <w:lang w:val="fr-FR" w:eastAsia="fr-FR" w:bidi="fr-FR"/>
      </w:rPr>
    </w:lvl>
  </w:abstractNum>
  <w:abstractNum w:abstractNumId="18" w15:restartNumberingAfterBreak="0">
    <w:nsid w:val="62A64A95"/>
    <w:multiLevelType w:val="hybridMultilevel"/>
    <w:tmpl w:val="EC762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A7A8D"/>
    <w:multiLevelType w:val="hybridMultilevel"/>
    <w:tmpl w:val="D1E4CCE6"/>
    <w:lvl w:ilvl="0" w:tplc="1F100E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93A33"/>
    <w:multiLevelType w:val="hybridMultilevel"/>
    <w:tmpl w:val="DE5023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877786"/>
    <w:multiLevelType w:val="hybridMultilevel"/>
    <w:tmpl w:val="2E942A50"/>
    <w:lvl w:ilvl="0" w:tplc="040C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2" w15:restartNumberingAfterBreak="0">
    <w:nsid w:val="6F5434BC"/>
    <w:multiLevelType w:val="hybridMultilevel"/>
    <w:tmpl w:val="8E387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C585B"/>
    <w:multiLevelType w:val="hybridMultilevel"/>
    <w:tmpl w:val="DC541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6"/>
  </w:num>
  <w:num w:numId="4">
    <w:abstractNumId w:val="3"/>
  </w:num>
  <w:num w:numId="5">
    <w:abstractNumId w:val="21"/>
  </w:num>
  <w:num w:numId="6">
    <w:abstractNumId w:val="16"/>
  </w:num>
  <w:num w:numId="7">
    <w:abstractNumId w:val="13"/>
  </w:num>
  <w:num w:numId="8">
    <w:abstractNumId w:val="15"/>
  </w:num>
  <w:num w:numId="9">
    <w:abstractNumId w:val="7"/>
  </w:num>
  <w:num w:numId="10">
    <w:abstractNumId w:val="17"/>
  </w:num>
  <w:num w:numId="11">
    <w:abstractNumId w:val="19"/>
  </w:num>
  <w:num w:numId="12">
    <w:abstractNumId w:val="12"/>
  </w:num>
  <w:num w:numId="13">
    <w:abstractNumId w:val="14"/>
  </w:num>
  <w:num w:numId="14">
    <w:abstractNumId w:val="8"/>
  </w:num>
  <w:num w:numId="15">
    <w:abstractNumId w:val="9"/>
  </w:num>
  <w:num w:numId="16">
    <w:abstractNumId w:val="0"/>
  </w:num>
  <w:num w:numId="17">
    <w:abstractNumId w:val="18"/>
  </w:num>
  <w:num w:numId="18">
    <w:abstractNumId w:val="2"/>
  </w:num>
  <w:num w:numId="19">
    <w:abstractNumId w:val="11"/>
  </w:num>
  <w:num w:numId="20">
    <w:abstractNumId w:val="10"/>
  </w:num>
  <w:num w:numId="21">
    <w:abstractNumId w:val="1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2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ED8"/>
    <w:rsid w:val="0003285F"/>
    <w:rsid w:val="00042303"/>
    <w:rsid w:val="000458BE"/>
    <w:rsid w:val="00060BA0"/>
    <w:rsid w:val="00062059"/>
    <w:rsid w:val="00062F07"/>
    <w:rsid w:val="00077DBE"/>
    <w:rsid w:val="00077F43"/>
    <w:rsid w:val="000822D9"/>
    <w:rsid w:val="000D1DEF"/>
    <w:rsid w:val="000D5B7C"/>
    <w:rsid w:val="000E5A2E"/>
    <w:rsid w:val="000F0007"/>
    <w:rsid w:val="00101A72"/>
    <w:rsid w:val="00104F91"/>
    <w:rsid w:val="0012475D"/>
    <w:rsid w:val="001418BE"/>
    <w:rsid w:val="001961A9"/>
    <w:rsid w:val="001C1C99"/>
    <w:rsid w:val="00201A10"/>
    <w:rsid w:val="00214D88"/>
    <w:rsid w:val="00233BFC"/>
    <w:rsid w:val="002547CA"/>
    <w:rsid w:val="0026142E"/>
    <w:rsid w:val="002616D4"/>
    <w:rsid w:val="00267383"/>
    <w:rsid w:val="00267E95"/>
    <w:rsid w:val="00270B21"/>
    <w:rsid w:val="00273ECB"/>
    <w:rsid w:val="002749A1"/>
    <w:rsid w:val="002D30F7"/>
    <w:rsid w:val="002E2433"/>
    <w:rsid w:val="002E480A"/>
    <w:rsid w:val="002F05DC"/>
    <w:rsid w:val="002F7F15"/>
    <w:rsid w:val="00305ED8"/>
    <w:rsid w:val="00314C70"/>
    <w:rsid w:val="00316FCA"/>
    <w:rsid w:val="00324C1A"/>
    <w:rsid w:val="0035648B"/>
    <w:rsid w:val="003848EE"/>
    <w:rsid w:val="003945EC"/>
    <w:rsid w:val="00396CE3"/>
    <w:rsid w:val="003A5325"/>
    <w:rsid w:val="003B0037"/>
    <w:rsid w:val="003D0568"/>
    <w:rsid w:val="003E41C5"/>
    <w:rsid w:val="003E7ADE"/>
    <w:rsid w:val="003F1CE7"/>
    <w:rsid w:val="0041127F"/>
    <w:rsid w:val="00414BBA"/>
    <w:rsid w:val="00440CDE"/>
    <w:rsid w:val="00445E13"/>
    <w:rsid w:val="00451AEE"/>
    <w:rsid w:val="00492A1E"/>
    <w:rsid w:val="00496E11"/>
    <w:rsid w:val="004A4EEF"/>
    <w:rsid w:val="004B0FF2"/>
    <w:rsid w:val="00515F47"/>
    <w:rsid w:val="00526F8C"/>
    <w:rsid w:val="00544C93"/>
    <w:rsid w:val="00580750"/>
    <w:rsid w:val="00584ADF"/>
    <w:rsid w:val="00593C5E"/>
    <w:rsid w:val="005B2EC2"/>
    <w:rsid w:val="005C1A52"/>
    <w:rsid w:val="005C5078"/>
    <w:rsid w:val="005D7D0B"/>
    <w:rsid w:val="005E5B2F"/>
    <w:rsid w:val="00605FA9"/>
    <w:rsid w:val="00607466"/>
    <w:rsid w:val="00611BA9"/>
    <w:rsid w:val="00615EC4"/>
    <w:rsid w:val="00647E61"/>
    <w:rsid w:val="00687CCA"/>
    <w:rsid w:val="00693199"/>
    <w:rsid w:val="00695F1F"/>
    <w:rsid w:val="006A0B9E"/>
    <w:rsid w:val="006A1517"/>
    <w:rsid w:val="006F22C5"/>
    <w:rsid w:val="00702425"/>
    <w:rsid w:val="00725DF6"/>
    <w:rsid w:val="007427AE"/>
    <w:rsid w:val="00761CEB"/>
    <w:rsid w:val="0078505E"/>
    <w:rsid w:val="00793F91"/>
    <w:rsid w:val="007D2B79"/>
    <w:rsid w:val="007D4E11"/>
    <w:rsid w:val="007E2A84"/>
    <w:rsid w:val="007F2F5E"/>
    <w:rsid w:val="00802F12"/>
    <w:rsid w:val="00805799"/>
    <w:rsid w:val="00807894"/>
    <w:rsid w:val="00843AB5"/>
    <w:rsid w:val="00851949"/>
    <w:rsid w:val="008712C4"/>
    <w:rsid w:val="008839A7"/>
    <w:rsid w:val="008A163F"/>
    <w:rsid w:val="008A3C75"/>
    <w:rsid w:val="008B3836"/>
    <w:rsid w:val="008E79FB"/>
    <w:rsid w:val="008F1B37"/>
    <w:rsid w:val="008F2386"/>
    <w:rsid w:val="00924A31"/>
    <w:rsid w:val="0092705B"/>
    <w:rsid w:val="0095321F"/>
    <w:rsid w:val="00960E8B"/>
    <w:rsid w:val="009731FD"/>
    <w:rsid w:val="00976659"/>
    <w:rsid w:val="00985807"/>
    <w:rsid w:val="00985A38"/>
    <w:rsid w:val="009C5FA4"/>
    <w:rsid w:val="009D5D93"/>
    <w:rsid w:val="009D5D98"/>
    <w:rsid w:val="00A1299A"/>
    <w:rsid w:val="00A408CB"/>
    <w:rsid w:val="00A63088"/>
    <w:rsid w:val="00A70517"/>
    <w:rsid w:val="00A77F9F"/>
    <w:rsid w:val="00AA0BD5"/>
    <w:rsid w:val="00AB1F45"/>
    <w:rsid w:val="00AC0E24"/>
    <w:rsid w:val="00AD02E6"/>
    <w:rsid w:val="00AD5F89"/>
    <w:rsid w:val="00B0554B"/>
    <w:rsid w:val="00B17704"/>
    <w:rsid w:val="00B24524"/>
    <w:rsid w:val="00B4085E"/>
    <w:rsid w:val="00B4449C"/>
    <w:rsid w:val="00B450E7"/>
    <w:rsid w:val="00B45478"/>
    <w:rsid w:val="00B8656F"/>
    <w:rsid w:val="00B953C5"/>
    <w:rsid w:val="00BA67B9"/>
    <w:rsid w:val="00BA6BD3"/>
    <w:rsid w:val="00BB17AF"/>
    <w:rsid w:val="00BB213B"/>
    <w:rsid w:val="00BD7388"/>
    <w:rsid w:val="00BE080E"/>
    <w:rsid w:val="00BE69C7"/>
    <w:rsid w:val="00BF0C7A"/>
    <w:rsid w:val="00BF69A1"/>
    <w:rsid w:val="00C02303"/>
    <w:rsid w:val="00C02F95"/>
    <w:rsid w:val="00C42DF5"/>
    <w:rsid w:val="00C43669"/>
    <w:rsid w:val="00C606F5"/>
    <w:rsid w:val="00C7035D"/>
    <w:rsid w:val="00C9344F"/>
    <w:rsid w:val="00C979B6"/>
    <w:rsid w:val="00CB609F"/>
    <w:rsid w:val="00CC101E"/>
    <w:rsid w:val="00CD259E"/>
    <w:rsid w:val="00CE209E"/>
    <w:rsid w:val="00CE5061"/>
    <w:rsid w:val="00D123F8"/>
    <w:rsid w:val="00D26BEF"/>
    <w:rsid w:val="00D41779"/>
    <w:rsid w:val="00D52FF5"/>
    <w:rsid w:val="00D60D0F"/>
    <w:rsid w:val="00D70728"/>
    <w:rsid w:val="00D76065"/>
    <w:rsid w:val="00D81EC7"/>
    <w:rsid w:val="00DB0C62"/>
    <w:rsid w:val="00DB14A5"/>
    <w:rsid w:val="00DD5C93"/>
    <w:rsid w:val="00DE5A6B"/>
    <w:rsid w:val="00E242D3"/>
    <w:rsid w:val="00E341B7"/>
    <w:rsid w:val="00E41247"/>
    <w:rsid w:val="00E47A05"/>
    <w:rsid w:val="00E62809"/>
    <w:rsid w:val="00E87EE2"/>
    <w:rsid w:val="00EA553E"/>
    <w:rsid w:val="00EB72BE"/>
    <w:rsid w:val="00EB798F"/>
    <w:rsid w:val="00EE4248"/>
    <w:rsid w:val="00EE6313"/>
    <w:rsid w:val="00F24EB9"/>
    <w:rsid w:val="00F3534F"/>
    <w:rsid w:val="00F42EE3"/>
    <w:rsid w:val="00F444E1"/>
    <w:rsid w:val="00F5238E"/>
    <w:rsid w:val="00F6472B"/>
    <w:rsid w:val="00F64CA1"/>
    <w:rsid w:val="00F738A4"/>
    <w:rsid w:val="00F76BCB"/>
    <w:rsid w:val="00FA1B60"/>
    <w:rsid w:val="00FD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32F4"/>
  <w15:docId w15:val="{B350CDAD-AB93-49BF-8CFA-59094931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4E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1A1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01A1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02303"/>
    <w:pPr>
      <w:widowControl w:val="0"/>
      <w:autoSpaceDE w:val="0"/>
      <w:autoSpaceDN w:val="0"/>
      <w:spacing w:line="240" w:lineRule="auto"/>
    </w:pPr>
    <w:rPr>
      <w:rFonts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02303"/>
    <w:pPr>
      <w:widowControl w:val="0"/>
      <w:autoSpaceDE w:val="0"/>
      <w:autoSpaceDN w:val="0"/>
      <w:spacing w:before="40" w:line="240" w:lineRule="auto"/>
      <w:ind w:left="28"/>
    </w:pPr>
    <w:rPr>
      <w:rFonts w:ascii="Arial" w:eastAsia="Arial" w:hAnsi="Arial" w:cs="Arial"/>
      <w:sz w:val="22"/>
      <w:szCs w:val="22"/>
      <w:lang w:eastAsia="fr-FR" w:bidi="fr-FR"/>
    </w:rPr>
  </w:style>
  <w:style w:type="table" w:styleId="Grilledutableau">
    <w:name w:val="Table Grid"/>
    <w:basedOn w:val="TableauNormal"/>
    <w:uiPriority w:val="39"/>
    <w:rsid w:val="00C0230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023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303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1"/>
    <w:qFormat/>
    <w:rsid w:val="00C02303"/>
    <w:pPr>
      <w:widowControl w:val="0"/>
      <w:autoSpaceDE w:val="0"/>
      <w:autoSpaceDN w:val="0"/>
      <w:spacing w:line="240" w:lineRule="auto"/>
      <w:ind w:left="136"/>
      <w:jc w:val="both"/>
    </w:pPr>
    <w:rPr>
      <w:rFonts w:ascii="Arial" w:eastAsia="Arial" w:hAnsi="Arial" w:cs="Arial"/>
      <w:sz w:val="22"/>
      <w:szCs w:val="22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C02303"/>
    <w:rPr>
      <w:rFonts w:ascii="Arial" w:eastAsia="Arial" w:hAnsi="Arial" w:cs="Arial"/>
      <w:sz w:val="22"/>
      <w:szCs w:val="22"/>
      <w:lang w:eastAsia="fr-FR" w:bidi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76BCB"/>
    <w:rPr>
      <w:color w:val="800080" w:themeColor="followedHyperlink"/>
      <w:u w:val="single"/>
    </w:rPr>
  </w:style>
  <w:style w:type="paragraph" w:customStyle="1" w:styleId="Titre31">
    <w:name w:val="Titre 31"/>
    <w:basedOn w:val="Normal"/>
    <w:uiPriority w:val="1"/>
    <w:qFormat/>
    <w:rsid w:val="009C5FA4"/>
    <w:pPr>
      <w:widowControl w:val="0"/>
      <w:autoSpaceDE w:val="0"/>
      <w:autoSpaceDN w:val="0"/>
      <w:spacing w:line="240" w:lineRule="auto"/>
      <w:ind w:left="496" w:hanging="361"/>
      <w:outlineLvl w:val="3"/>
    </w:pPr>
    <w:rPr>
      <w:rFonts w:ascii="Arial" w:eastAsia="Arial" w:hAnsi="Arial" w:cs="Arial"/>
      <w:b/>
      <w:bCs/>
      <w:sz w:val="22"/>
      <w:szCs w:val="22"/>
      <w:lang w:eastAsia="fr-FR" w:bidi="fr-FR"/>
    </w:rPr>
  </w:style>
  <w:style w:type="paragraph" w:styleId="En-tte">
    <w:name w:val="header"/>
    <w:basedOn w:val="Normal"/>
    <w:link w:val="En-tteCar"/>
    <w:uiPriority w:val="99"/>
    <w:semiHidden/>
    <w:unhideWhenUsed/>
    <w:rsid w:val="00C979B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979B6"/>
  </w:style>
  <w:style w:type="paragraph" w:styleId="Pieddepage">
    <w:name w:val="footer"/>
    <w:basedOn w:val="Normal"/>
    <w:link w:val="PieddepageCar"/>
    <w:uiPriority w:val="99"/>
    <w:unhideWhenUsed/>
    <w:rsid w:val="00C979B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79B6"/>
  </w:style>
  <w:style w:type="paragraph" w:customStyle="1" w:styleId="Default">
    <w:name w:val="Default"/>
    <w:rsid w:val="003A5325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character" w:customStyle="1" w:styleId="hgkelc">
    <w:name w:val="hgkelc"/>
    <w:basedOn w:val="Policepardfaut"/>
    <w:rsid w:val="00605FA9"/>
  </w:style>
  <w:style w:type="character" w:customStyle="1" w:styleId="Mentionnonrsolue1">
    <w:name w:val="Mention non résolue1"/>
    <w:basedOn w:val="Policepardfaut"/>
    <w:uiPriority w:val="99"/>
    <w:semiHidden/>
    <w:unhideWhenUsed/>
    <w:rsid w:val="00985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9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render.com/" TargetMode="External"/><Relationship Id="rId13" Type="http://schemas.openxmlformats.org/officeDocument/2006/relationships/hyperlink" Target="https://pubmed.ncbi.nlm.nih.gov/33710717/" TargetMode="External"/><Relationship Id="rId18" Type="http://schemas.openxmlformats.org/officeDocument/2006/relationships/hyperlink" Target="https://www.rcsb.org/structure/7Q1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csb.org/structure/7V35" TargetMode="External"/><Relationship Id="rId7" Type="http://schemas.openxmlformats.org/officeDocument/2006/relationships/hyperlink" Target="https://www.sciencedirect.com/science/article/pii/S2212877819309135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rcsb.org/structure/8EM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33710717/" TargetMode="External"/><Relationship Id="rId20" Type="http://schemas.openxmlformats.org/officeDocument/2006/relationships/hyperlink" Target="https://www.rcsb.org/structure/6PX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monde.fr/sciences/article/2024/06/10/la-quete-d-une-silhouette-plus-fine-pousse-certains-a-faire-n-importe-quoi-pour-se-procurer-de-l-ozempic_6238508_1650684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sciencedirect.com/science/article/pii/S2212877819309135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ansm.sante.fr/actualites/ozempic-semaglutide-un-medicament-a-utiliser-uniquement-dans-le-traitement-du-diabete-de-type-2" TargetMode="External"/><Relationship Id="rId19" Type="http://schemas.openxmlformats.org/officeDocument/2006/relationships/hyperlink" Target="https://www.rcsb.org/structure/7KI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www.rcsb.org/structure/7WS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2014</Words>
  <Characters>11078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Guili</dc:creator>
  <cp:lastModifiedBy>Vincent Guili</cp:lastModifiedBy>
  <cp:revision>8</cp:revision>
  <cp:lastPrinted>2024-06-15T08:53:00Z</cp:lastPrinted>
  <dcterms:created xsi:type="dcterms:W3CDTF">2024-06-20T06:37:00Z</dcterms:created>
  <dcterms:modified xsi:type="dcterms:W3CDTF">2024-06-20T10:19:00Z</dcterms:modified>
</cp:coreProperties>
</file>