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9E395E" w14:textId="77777777" w:rsidR="00492A1E" w:rsidRPr="00492A1E" w:rsidRDefault="002E73B9" w:rsidP="00A1299A">
      <w:pPr>
        <w:pBdr>
          <w:top w:val="single" w:sz="4" w:space="1" w:color="auto"/>
          <w:left w:val="single" w:sz="4" w:space="4" w:color="auto"/>
          <w:bottom w:val="single" w:sz="4" w:space="1" w:color="auto"/>
          <w:right w:val="single" w:sz="4" w:space="4" w:color="auto"/>
        </w:pBdr>
        <w:spacing w:line="240" w:lineRule="auto"/>
        <w:jc w:val="center"/>
      </w:pPr>
      <w:r>
        <w:t>Microbiote</w:t>
      </w:r>
      <w:r w:rsidR="00492A1E" w:rsidRPr="00492A1E">
        <w:t xml:space="preserve"> et </w:t>
      </w:r>
      <w:r>
        <w:t>dégradation de l’hémoglobine</w:t>
      </w:r>
    </w:p>
    <w:p w14:paraId="4F0B78C7" w14:textId="77777777" w:rsidR="00A1299A" w:rsidRDefault="00A1299A" w:rsidP="00886BBB">
      <w:pPr>
        <w:spacing w:line="240" w:lineRule="auto"/>
        <w:rPr>
          <w:sz w:val="22"/>
        </w:rPr>
      </w:pPr>
    </w:p>
    <w:p w14:paraId="06255BE3" w14:textId="77777777" w:rsidR="0012475D" w:rsidRPr="00886BBB" w:rsidRDefault="00886BBB" w:rsidP="00886BBB">
      <w:pPr>
        <w:pStyle w:val="Paragraphedeliste"/>
        <w:spacing w:before="120" w:after="120" w:line="240" w:lineRule="auto"/>
        <w:ind w:left="0"/>
        <w:contextualSpacing w:val="0"/>
        <w:jc w:val="both"/>
        <w:rPr>
          <w:sz w:val="22"/>
          <w:szCs w:val="22"/>
        </w:rPr>
      </w:pPr>
      <w:r>
        <w:rPr>
          <w:sz w:val="22"/>
        </w:rPr>
        <w:t xml:space="preserve">Mise en évidence de l’action des bactéries du microbiote intestinal dans l’élimination d’un produit de la dégradation de l’hémoglobine, et étude de </w:t>
      </w:r>
      <w:r w:rsidR="00BB63D2">
        <w:rPr>
          <w:sz w:val="22"/>
        </w:rPr>
        <w:t>leur mise en place dans l’intestin après la naissance</w:t>
      </w:r>
      <w:r>
        <w:rPr>
          <w:sz w:val="22"/>
        </w:rPr>
        <w:t xml:space="preserve">. </w:t>
      </w:r>
      <w:r w:rsidRPr="00B61D38">
        <w:rPr>
          <w:sz w:val="22"/>
          <w:szCs w:val="22"/>
        </w:rPr>
        <w:t>Cette activité permet</w:t>
      </w:r>
      <w:r>
        <w:rPr>
          <w:sz w:val="22"/>
          <w:szCs w:val="22"/>
        </w:rPr>
        <w:t xml:space="preserve"> en outre</w:t>
      </w:r>
      <w:r w:rsidRPr="00B61D38">
        <w:rPr>
          <w:sz w:val="22"/>
          <w:szCs w:val="22"/>
        </w:rPr>
        <w:t xml:space="preserve"> de comprendre l’origine de la couleur des excréments et de l’urine.</w:t>
      </w:r>
    </w:p>
    <w:p w14:paraId="6242D506" w14:textId="77777777" w:rsidR="0012475D" w:rsidRDefault="0012475D" w:rsidP="00C02303">
      <w:pPr>
        <w:pBdr>
          <w:bottom w:val="single" w:sz="4" w:space="1" w:color="auto"/>
        </w:pBdr>
        <w:spacing w:line="240" w:lineRule="auto"/>
      </w:pPr>
    </w:p>
    <w:p w14:paraId="38F344E9" w14:textId="77777777" w:rsidR="00C02303" w:rsidRPr="00C02303" w:rsidRDefault="00C02303" w:rsidP="00C02303">
      <w:pPr>
        <w:pBdr>
          <w:bottom w:val="single" w:sz="4" w:space="1" w:color="auto"/>
        </w:pBdr>
        <w:shd w:val="clear" w:color="auto" w:fill="8DB3E2" w:themeFill="text2" w:themeFillTint="66"/>
        <w:spacing w:after="120" w:line="240" w:lineRule="auto"/>
        <w:rPr>
          <w:b/>
          <w:sz w:val="22"/>
        </w:rPr>
      </w:pPr>
      <w:r w:rsidRPr="00C02303">
        <w:rPr>
          <w:b/>
          <w:sz w:val="22"/>
        </w:rPr>
        <w:t>Partie de programme</w:t>
      </w:r>
    </w:p>
    <w:p w14:paraId="441F2CAB" w14:textId="2D8BA921" w:rsidR="00A127C8" w:rsidRDefault="00A127C8" w:rsidP="00A127C8">
      <w:pPr>
        <w:spacing w:line="240" w:lineRule="auto"/>
        <w:rPr>
          <w:rFonts w:cstheme="minorHAnsi"/>
          <w:color w:val="17818E"/>
          <w:sz w:val="28"/>
        </w:rPr>
      </w:pPr>
      <w:r w:rsidRPr="00F76BCB">
        <w:rPr>
          <w:rFonts w:cstheme="minorHAnsi"/>
          <w:color w:val="17818E"/>
          <w:sz w:val="28"/>
        </w:rPr>
        <w:t xml:space="preserve">Programme de sciences de la vie et de la Terre de </w:t>
      </w:r>
      <w:r w:rsidR="002C2C82">
        <w:rPr>
          <w:rFonts w:cstheme="minorHAnsi"/>
          <w:color w:val="17818E"/>
          <w:sz w:val="28"/>
        </w:rPr>
        <w:t>terminale</w:t>
      </w:r>
      <w:r>
        <w:rPr>
          <w:rFonts w:cstheme="minorHAnsi"/>
          <w:color w:val="17818E"/>
          <w:sz w:val="28"/>
        </w:rPr>
        <w:t xml:space="preserve"> générale </w:t>
      </w:r>
    </w:p>
    <w:p w14:paraId="4593A7AB" w14:textId="77777777" w:rsidR="00FA0402" w:rsidRDefault="00FA0402" w:rsidP="00FA0402">
      <w:pPr>
        <w:spacing w:line="240" w:lineRule="auto"/>
        <w:rPr>
          <w:rFonts w:cstheme="minorHAnsi"/>
          <w:b/>
          <w:bCs/>
          <w:color w:val="17818E"/>
          <w:sz w:val="28"/>
        </w:rPr>
      </w:pPr>
      <w:r w:rsidRPr="00FA0402">
        <w:rPr>
          <w:rFonts w:cstheme="minorHAnsi"/>
          <w:color w:val="17818E"/>
          <w:sz w:val="28"/>
        </w:rPr>
        <w:t>La Terre, la vie et l’organisation du vivant</w:t>
      </w:r>
    </w:p>
    <w:p w14:paraId="03422298" w14:textId="5EB44A4F" w:rsidR="00A127C8" w:rsidRPr="009C5FA4" w:rsidRDefault="00FA0402" w:rsidP="00A127C8">
      <w:pPr>
        <w:pStyle w:val="Titre31"/>
        <w:tabs>
          <w:tab w:val="left" w:pos="496"/>
          <w:tab w:val="left" w:pos="497"/>
        </w:tabs>
        <w:ind w:left="135" w:firstLine="0"/>
      </w:pPr>
      <w:r w:rsidRPr="00FA0402">
        <w:rPr>
          <w:color w:val="17818E"/>
        </w:rPr>
        <w:t>Génétique et évolution</w:t>
      </w:r>
    </w:p>
    <w:tbl>
      <w:tblPr>
        <w:tblStyle w:val="TableNormal"/>
        <w:tblW w:w="8965"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965"/>
      </w:tblGrid>
      <w:tr w:rsidR="00A127C8" w:rsidRPr="002E480A" w14:paraId="7A250E3C" w14:textId="77777777" w:rsidTr="00D46CE1">
        <w:trPr>
          <w:trHeight w:val="429"/>
        </w:trPr>
        <w:tc>
          <w:tcPr>
            <w:tcW w:w="8965" w:type="dxa"/>
          </w:tcPr>
          <w:p w14:paraId="1B35CDCE" w14:textId="09509344" w:rsidR="00A127C8" w:rsidRPr="009C5FA4" w:rsidRDefault="00A127C8" w:rsidP="00D46CE1">
            <w:pPr>
              <w:pStyle w:val="TableParagraph"/>
              <w:spacing w:before="84"/>
              <w:rPr>
                <w:rFonts w:asciiTheme="minorHAnsi" w:hAnsiTheme="minorHAnsi" w:cstheme="minorHAnsi"/>
                <w:b/>
                <w:lang w:val="fr-FR"/>
              </w:rPr>
            </w:pPr>
            <w:r w:rsidRPr="00A127C8">
              <w:rPr>
                <w:b/>
                <w:color w:val="17818E"/>
                <w:lang w:val="fr-FR"/>
              </w:rPr>
              <w:t>D’autres mécanismes contribuent à la diversité du vivant</w:t>
            </w:r>
          </w:p>
        </w:tc>
      </w:tr>
      <w:tr w:rsidR="00A127C8" w:rsidRPr="002E480A" w14:paraId="0F130FBE" w14:textId="77777777" w:rsidTr="00D46CE1">
        <w:trPr>
          <w:trHeight w:val="549"/>
        </w:trPr>
        <w:tc>
          <w:tcPr>
            <w:tcW w:w="8965" w:type="dxa"/>
          </w:tcPr>
          <w:p w14:paraId="6FB07AD6" w14:textId="77777777" w:rsidR="00A127C8" w:rsidRPr="00A127C8" w:rsidRDefault="00A127C8" w:rsidP="00A127C8">
            <w:pPr>
              <w:pStyle w:val="Corpsdetexte"/>
              <w:spacing w:before="59"/>
              <w:ind w:right="157"/>
              <w:rPr>
                <w:rFonts w:asciiTheme="minorHAnsi" w:hAnsiTheme="minorHAnsi" w:cstheme="minorHAnsi"/>
                <w:b/>
                <w:lang w:val="fr-FR"/>
              </w:rPr>
            </w:pPr>
            <w:r w:rsidRPr="00A127C8">
              <w:rPr>
                <w:rFonts w:asciiTheme="minorHAnsi" w:hAnsiTheme="minorHAnsi" w:cstheme="minorHAnsi"/>
                <w:b/>
                <w:lang w:val="fr-FR"/>
              </w:rPr>
              <w:t xml:space="preserve">Connaissances </w:t>
            </w:r>
          </w:p>
          <w:p w14:paraId="14540348" w14:textId="5E57F720" w:rsidR="00A127C8" w:rsidRPr="00A127C8" w:rsidRDefault="00A127C8" w:rsidP="00A127C8">
            <w:pPr>
              <w:pStyle w:val="Corpsdetexte"/>
              <w:spacing w:before="59"/>
              <w:ind w:right="157"/>
              <w:rPr>
                <w:rFonts w:asciiTheme="minorHAnsi" w:hAnsiTheme="minorHAnsi" w:cstheme="minorHAnsi"/>
                <w:lang w:val="fr-FR"/>
              </w:rPr>
            </w:pPr>
            <w:r w:rsidRPr="00A127C8">
              <w:rPr>
                <w:rFonts w:asciiTheme="minorHAnsi" w:hAnsiTheme="minorHAnsi" w:cstheme="minorHAnsi"/>
                <w:lang w:val="fr-FR"/>
              </w:rPr>
              <w:t>La diversification phénotypique des êtres vivants n’est pas uniquement due à la diversification génétique.</w:t>
            </w:r>
          </w:p>
          <w:p w14:paraId="760EA257" w14:textId="77777777" w:rsidR="00A127C8" w:rsidRPr="00A127C8" w:rsidRDefault="00A127C8" w:rsidP="00A127C8">
            <w:pPr>
              <w:pStyle w:val="Corpsdetexte"/>
              <w:spacing w:before="59"/>
              <w:ind w:right="157"/>
              <w:rPr>
                <w:rFonts w:asciiTheme="minorHAnsi" w:hAnsiTheme="minorHAnsi" w:cstheme="minorHAnsi"/>
                <w:lang w:val="fr-FR"/>
              </w:rPr>
            </w:pPr>
            <w:r w:rsidRPr="00A127C8">
              <w:rPr>
                <w:rFonts w:asciiTheme="minorHAnsi" w:hAnsiTheme="minorHAnsi" w:cstheme="minorHAnsi"/>
                <w:lang w:val="fr-FR"/>
              </w:rPr>
              <w:t>D’autres mécanismes interviennent :</w:t>
            </w:r>
          </w:p>
          <w:p w14:paraId="49279885" w14:textId="305DC566" w:rsidR="00A127C8" w:rsidRPr="002E480A" w:rsidRDefault="00A127C8" w:rsidP="00A127C8">
            <w:pPr>
              <w:pStyle w:val="Corpsdetexte"/>
              <w:spacing w:before="59" w:after="120"/>
              <w:ind w:right="159"/>
              <w:rPr>
                <w:rFonts w:asciiTheme="minorHAnsi" w:hAnsiTheme="minorHAnsi" w:cstheme="minorHAnsi"/>
                <w:lang w:val="fr-FR"/>
              </w:rPr>
            </w:pPr>
            <w:r w:rsidRPr="00A127C8">
              <w:rPr>
                <w:rFonts w:asciiTheme="minorHAnsi" w:hAnsiTheme="minorHAnsi" w:cstheme="minorHAnsi"/>
                <w:lang w:val="fr-FR"/>
              </w:rPr>
              <w:t>- associations non héréditaires (pathogènes ou symbiotes ; cas du microbiote acquis)</w:t>
            </w:r>
            <w:r w:rsidR="00D3272D">
              <w:rPr>
                <w:rFonts w:asciiTheme="minorHAnsi" w:hAnsiTheme="minorHAnsi" w:cstheme="minorHAnsi"/>
                <w:lang w:val="fr-FR"/>
              </w:rPr>
              <w:t>.</w:t>
            </w:r>
          </w:p>
        </w:tc>
      </w:tr>
      <w:tr w:rsidR="00A127C8" w:rsidRPr="002E480A" w14:paraId="28A4A68F" w14:textId="77777777" w:rsidTr="00D46CE1">
        <w:trPr>
          <w:trHeight w:val="549"/>
        </w:trPr>
        <w:tc>
          <w:tcPr>
            <w:tcW w:w="8965" w:type="dxa"/>
          </w:tcPr>
          <w:p w14:paraId="145BD01D" w14:textId="77777777" w:rsidR="00A127C8" w:rsidRPr="00A127C8" w:rsidRDefault="00A127C8" w:rsidP="00A127C8">
            <w:pPr>
              <w:pStyle w:val="Corpsdetexte"/>
              <w:spacing w:before="59"/>
              <w:ind w:right="157"/>
              <w:rPr>
                <w:rFonts w:asciiTheme="minorHAnsi" w:hAnsiTheme="minorHAnsi" w:cstheme="minorHAnsi"/>
                <w:b/>
                <w:lang w:val="fr-FR"/>
              </w:rPr>
            </w:pPr>
            <w:r w:rsidRPr="00A127C8">
              <w:rPr>
                <w:rFonts w:asciiTheme="minorHAnsi" w:hAnsiTheme="minorHAnsi" w:cstheme="minorHAnsi"/>
                <w:b/>
                <w:lang w:val="fr-FR"/>
              </w:rPr>
              <w:t>Capacités, attitudes</w:t>
            </w:r>
            <w:r w:rsidRPr="00A127C8">
              <w:rPr>
                <w:rFonts w:asciiTheme="minorHAnsi" w:hAnsiTheme="minorHAnsi" w:cstheme="minorHAnsi"/>
                <w:b/>
                <w:lang w:val="fr-FR"/>
              </w:rPr>
              <w:t xml:space="preserve"> </w:t>
            </w:r>
          </w:p>
          <w:p w14:paraId="31EB3D8A" w14:textId="5DC2C711" w:rsidR="00A127C8" w:rsidRPr="00A127C8" w:rsidRDefault="00A127C8" w:rsidP="00A127C8">
            <w:pPr>
              <w:pStyle w:val="Corpsdetexte"/>
              <w:spacing w:before="59"/>
              <w:ind w:right="157"/>
              <w:rPr>
                <w:rFonts w:asciiTheme="minorHAnsi" w:hAnsiTheme="minorHAnsi" w:cstheme="minorHAnsi"/>
                <w:lang w:val="fr-FR"/>
              </w:rPr>
            </w:pPr>
            <w:r w:rsidRPr="00A127C8">
              <w:rPr>
                <w:rFonts w:asciiTheme="minorHAnsi" w:hAnsiTheme="minorHAnsi" w:cstheme="minorHAnsi"/>
                <w:lang w:val="fr-FR"/>
              </w:rPr>
              <w:t>Étudier un exemple de diversification du vivant sans modification du génome.</w:t>
            </w:r>
          </w:p>
        </w:tc>
      </w:tr>
    </w:tbl>
    <w:p w14:paraId="2EB7D027" w14:textId="77777777" w:rsidR="00A127C8" w:rsidRDefault="00A127C8" w:rsidP="002D32C6">
      <w:pPr>
        <w:spacing w:line="240" w:lineRule="auto"/>
        <w:rPr>
          <w:rFonts w:cstheme="minorHAnsi"/>
          <w:color w:val="17818E"/>
          <w:sz w:val="28"/>
        </w:rPr>
      </w:pPr>
    </w:p>
    <w:p w14:paraId="4A8D93BE" w14:textId="325FD405" w:rsidR="00A127C8" w:rsidRDefault="00A127C8" w:rsidP="00A127C8">
      <w:pPr>
        <w:spacing w:after="120" w:line="240" w:lineRule="auto"/>
        <w:jc w:val="both"/>
        <w:rPr>
          <w:sz w:val="22"/>
        </w:rPr>
      </w:pPr>
      <w:r w:rsidRPr="00A127C8">
        <w:rPr>
          <w:sz w:val="22"/>
        </w:rPr>
        <w:t>Les ressources peuvent également être adaptées pour une utilisation en seconde.</w:t>
      </w:r>
    </w:p>
    <w:p w14:paraId="2155915F" w14:textId="77777777" w:rsidR="00AC32CD" w:rsidRPr="00A127C8" w:rsidRDefault="00AC32CD" w:rsidP="00A127C8">
      <w:pPr>
        <w:spacing w:after="120" w:line="240" w:lineRule="auto"/>
        <w:jc w:val="both"/>
        <w:rPr>
          <w:sz w:val="22"/>
        </w:rPr>
      </w:pPr>
    </w:p>
    <w:p w14:paraId="67A7708A" w14:textId="5CB944B4" w:rsidR="002D32C6" w:rsidRDefault="00F76BCB" w:rsidP="002D32C6">
      <w:pPr>
        <w:spacing w:line="240" w:lineRule="auto"/>
        <w:rPr>
          <w:rFonts w:cstheme="minorHAnsi"/>
          <w:color w:val="17818E"/>
          <w:sz w:val="28"/>
        </w:rPr>
      </w:pPr>
      <w:r w:rsidRPr="00F76BCB">
        <w:rPr>
          <w:rFonts w:cstheme="minorHAnsi"/>
          <w:color w:val="17818E"/>
          <w:sz w:val="28"/>
        </w:rPr>
        <w:t xml:space="preserve">Programme de sciences de la vie et de la Terre de </w:t>
      </w:r>
      <w:r w:rsidR="002D32C6">
        <w:rPr>
          <w:rFonts w:cstheme="minorHAnsi"/>
          <w:color w:val="17818E"/>
          <w:sz w:val="28"/>
        </w:rPr>
        <w:t>seconde générale et technologique</w:t>
      </w:r>
    </w:p>
    <w:p w14:paraId="1D954C6E" w14:textId="77777777" w:rsidR="00687CCA" w:rsidRDefault="00687CCA" w:rsidP="002D32C6">
      <w:pPr>
        <w:spacing w:line="240" w:lineRule="auto"/>
        <w:rPr>
          <w:rFonts w:cstheme="minorHAnsi"/>
          <w:b/>
          <w:bCs/>
          <w:color w:val="17818E"/>
          <w:sz w:val="28"/>
        </w:rPr>
      </w:pPr>
      <w:r w:rsidRPr="00687CCA">
        <w:rPr>
          <w:rFonts w:cstheme="minorHAnsi"/>
          <w:color w:val="17818E"/>
          <w:sz w:val="28"/>
        </w:rPr>
        <w:t>Corps humain et santé</w:t>
      </w:r>
    </w:p>
    <w:p w14:paraId="03A1D9D4" w14:textId="77777777" w:rsidR="00C02303" w:rsidRPr="009C5FA4" w:rsidRDefault="002D32C6" w:rsidP="009C5FA4">
      <w:pPr>
        <w:pStyle w:val="Titre31"/>
        <w:tabs>
          <w:tab w:val="left" w:pos="496"/>
          <w:tab w:val="left" w:pos="497"/>
        </w:tabs>
        <w:ind w:left="135" w:firstLine="0"/>
      </w:pPr>
      <w:r w:rsidRPr="002D32C6">
        <w:rPr>
          <w:color w:val="17818E"/>
        </w:rPr>
        <w:t>Microorganismes et santé</w:t>
      </w:r>
    </w:p>
    <w:tbl>
      <w:tblPr>
        <w:tblStyle w:val="TableNormal"/>
        <w:tblW w:w="8965"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965"/>
      </w:tblGrid>
      <w:tr w:rsidR="00C02303" w:rsidRPr="002E480A" w14:paraId="506E62D1" w14:textId="77777777" w:rsidTr="00C02303">
        <w:trPr>
          <w:trHeight w:val="429"/>
        </w:trPr>
        <w:tc>
          <w:tcPr>
            <w:tcW w:w="8965" w:type="dxa"/>
          </w:tcPr>
          <w:p w14:paraId="732E4087" w14:textId="77777777" w:rsidR="00C02303" w:rsidRPr="009C5FA4" w:rsidRDefault="002D32C6" w:rsidP="00605FA9">
            <w:pPr>
              <w:pStyle w:val="TableParagraph"/>
              <w:spacing w:before="84"/>
              <w:rPr>
                <w:rFonts w:asciiTheme="minorHAnsi" w:hAnsiTheme="minorHAnsi" w:cstheme="minorHAnsi"/>
                <w:b/>
                <w:lang w:val="fr-FR"/>
              </w:rPr>
            </w:pPr>
            <w:r w:rsidRPr="002D32C6">
              <w:rPr>
                <w:b/>
                <w:color w:val="17818E"/>
                <w:lang w:val="fr-FR"/>
              </w:rPr>
              <w:t>Microbiote humain et santé</w:t>
            </w:r>
          </w:p>
        </w:tc>
      </w:tr>
      <w:tr w:rsidR="00C02303" w:rsidRPr="002E480A" w14:paraId="0E5FF65A" w14:textId="77777777" w:rsidTr="00C02303">
        <w:trPr>
          <w:trHeight w:val="549"/>
        </w:trPr>
        <w:tc>
          <w:tcPr>
            <w:tcW w:w="8965" w:type="dxa"/>
          </w:tcPr>
          <w:p w14:paraId="35D1DBCB" w14:textId="77777777" w:rsidR="002D32C6" w:rsidRPr="002D32C6" w:rsidRDefault="002D32C6" w:rsidP="002D32C6">
            <w:pPr>
              <w:pStyle w:val="Corpsdetexte"/>
              <w:spacing w:before="59"/>
              <w:ind w:right="157"/>
              <w:rPr>
                <w:rFonts w:asciiTheme="minorHAnsi" w:hAnsiTheme="minorHAnsi" w:cstheme="minorHAnsi"/>
                <w:lang w:val="fr-FR"/>
              </w:rPr>
            </w:pPr>
            <w:r w:rsidRPr="002D32C6">
              <w:rPr>
                <w:rFonts w:asciiTheme="minorHAnsi" w:hAnsiTheme="minorHAnsi" w:cstheme="minorHAnsi"/>
                <w:lang w:val="fr-FR"/>
              </w:rPr>
              <w:t>Le microbiote humain représente l’ensemble des microorganismes qui vit sur et dans le corps humain.</w:t>
            </w:r>
          </w:p>
          <w:p w14:paraId="4EE9DBDA" w14:textId="77777777" w:rsidR="002D32C6" w:rsidRPr="002D32C6" w:rsidRDefault="002D32C6" w:rsidP="002D32C6">
            <w:pPr>
              <w:pStyle w:val="Corpsdetexte"/>
              <w:spacing w:before="59"/>
              <w:ind w:right="157"/>
              <w:rPr>
                <w:rFonts w:asciiTheme="minorHAnsi" w:hAnsiTheme="minorHAnsi" w:cstheme="minorHAnsi"/>
                <w:lang w:val="fr-FR"/>
              </w:rPr>
            </w:pPr>
            <w:r w:rsidRPr="002D32C6">
              <w:rPr>
                <w:rFonts w:asciiTheme="minorHAnsi" w:hAnsiTheme="minorHAnsi" w:cstheme="minorHAnsi"/>
                <w:lang w:val="fr-FR"/>
              </w:rPr>
              <w:t>Les interactions entre hôte et microbiote jouent un rôle essentiel pour le maintien de la santé et du bien-être de l’hôte. La composition en microorganismes et la diversité du microbiote sont des indicateurs de santé.</w:t>
            </w:r>
          </w:p>
          <w:p w14:paraId="7CA4239E" w14:textId="77777777" w:rsidR="002D32C6" w:rsidRPr="002D32C6" w:rsidRDefault="002D32C6" w:rsidP="002D32C6">
            <w:pPr>
              <w:pStyle w:val="Corpsdetexte"/>
              <w:spacing w:before="59"/>
              <w:ind w:right="157"/>
              <w:rPr>
                <w:rFonts w:asciiTheme="minorHAnsi" w:hAnsiTheme="minorHAnsi" w:cstheme="minorHAnsi"/>
                <w:lang w:val="fr-FR"/>
              </w:rPr>
            </w:pPr>
            <w:r w:rsidRPr="002D32C6">
              <w:rPr>
                <w:rFonts w:asciiTheme="minorHAnsi" w:hAnsiTheme="minorHAnsi" w:cstheme="minorHAnsi"/>
                <w:lang w:val="fr-FR"/>
              </w:rPr>
              <w:t>Le microbiote se met en place dès la naissance et évolue en fonction de différents facteurs comme l’alimentation (présence de fibres) ou les traitements antibiotiques.</w:t>
            </w:r>
          </w:p>
          <w:p w14:paraId="3FF7540B" w14:textId="77777777" w:rsidR="00396CE3" w:rsidRPr="002E480A" w:rsidRDefault="002D32C6" w:rsidP="002D32C6">
            <w:pPr>
              <w:pStyle w:val="Corpsdetexte"/>
              <w:spacing w:before="59" w:after="120"/>
              <w:ind w:right="159"/>
              <w:rPr>
                <w:rFonts w:asciiTheme="minorHAnsi" w:hAnsiTheme="minorHAnsi" w:cstheme="minorHAnsi"/>
                <w:lang w:val="fr-FR"/>
              </w:rPr>
            </w:pPr>
            <w:r w:rsidRPr="002D32C6">
              <w:rPr>
                <w:rFonts w:asciiTheme="minorHAnsi" w:hAnsiTheme="minorHAnsi" w:cstheme="minorHAnsi"/>
                <w:lang w:val="fr-FR"/>
              </w:rPr>
              <w:t>Le microbiote intestinal a un rôle indispensable dans l’immunité et dans la digestion. Certaines bactéries ont des propriétés anti-inflammatoires. Les travaux sur le microbiote établissent des corrélations entre des compositions du microbiote et des pathologies.</w:t>
            </w:r>
          </w:p>
        </w:tc>
      </w:tr>
      <w:tr w:rsidR="00C02303" w:rsidRPr="002E480A" w14:paraId="00C61A49" w14:textId="77777777" w:rsidTr="00605FA9">
        <w:trPr>
          <w:trHeight w:val="549"/>
        </w:trPr>
        <w:tc>
          <w:tcPr>
            <w:tcW w:w="8965" w:type="dxa"/>
          </w:tcPr>
          <w:p w14:paraId="127A91B2" w14:textId="77777777" w:rsidR="00C02303" w:rsidRPr="002E480A" w:rsidRDefault="00615EC4" w:rsidP="00C02303">
            <w:pPr>
              <w:pStyle w:val="Corpsdetexte"/>
              <w:spacing w:before="59"/>
              <w:ind w:right="157"/>
              <w:rPr>
                <w:rFonts w:asciiTheme="minorHAnsi" w:hAnsiTheme="minorHAnsi" w:cstheme="minorHAnsi"/>
                <w:b/>
                <w:lang w:val="fr-FR"/>
              </w:rPr>
            </w:pPr>
            <w:r>
              <w:rPr>
                <w:rFonts w:asciiTheme="minorHAnsi" w:hAnsiTheme="minorHAnsi" w:cstheme="minorHAnsi"/>
                <w:b/>
                <w:lang w:val="fr-FR"/>
              </w:rPr>
              <w:t>Notions fondamentales</w:t>
            </w:r>
          </w:p>
          <w:p w14:paraId="03341995" w14:textId="77777777" w:rsidR="00687CCA" w:rsidRPr="002E480A" w:rsidRDefault="002D32C6" w:rsidP="00D52FF5">
            <w:pPr>
              <w:pStyle w:val="Corpsdetexte"/>
              <w:tabs>
                <w:tab w:val="left" w:pos="200"/>
              </w:tabs>
              <w:spacing w:before="14" w:after="120" w:line="226" w:lineRule="auto"/>
              <w:ind w:left="198" w:right="34"/>
              <w:jc w:val="left"/>
              <w:rPr>
                <w:rFonts w:asciiTheme="minorHAnsi" w:hAnsiTheme="minorHAnsi" w:cstheme="minorHAnsi"/>
                <w:lang w:val="fr-FR"/>
              </w:rPr>
            </w:pPr>
            <w:r>
              <w:rPr>
                <w:rFonts w:asciiTheme="minorHAnsi" w:hAnsiTheme="minorHAnsi" w:cstheme="minorHAnsi"/>
                <w:lang w:val="fr-FR"/>
              </w:rPr>
              <w:t>S</w:t>
            </w:r>
            <w:r w:rsidRPr="002D32C6">
              <w:rPr>
                <w:rFonts w:asciiTheme="minorHAnsi" w:hAnsiTheme="minorHAnsi" w:cstheme="minorHAnsi"/>
                <w:lang w:val="fr-FR"/>
              </w:rPr>
              <w:t>ymbiose ; hôte et microbiote ; microbiote maternel et construction de la symbiose hôte-microbiote</w:t>
            </w:r>
            <w:r>
              <w:rPr>
                <w:rFonts w:asciiTheme="minorHAnsi" w:hAnsiTheme="minorHAnsi" w:cstheme="minorHAnsi"/>
                <w:lang w:val="fr-FR"/>
              </w:rPr>
              <w:t>.</w:t>
            </w:r>
          </w:p>
        </w:tc>
      </w:tr>
    </w:tbl>
    <w:p w14:paraId="4AEB1BFE" w14:textId="77777777" w:rsidR="00C42DF5" w:rsidRDefault="00C42DF5" w:rsidP="00C02303">
      <w:pPr>
        <w:spacing w:line="240" w:lineRule="auto"/>
      </w:pPr>
    </w:p>
    <w:p w14:paraId="2401791C" w14:textId="77777777" w:rsidR="0099539D" w:rsidRDefault="0099539D">
      <w:pPr>
        <w:rPr>
          <w:b/>
          <w:sz w:val="22"/>
          <w:szCs w:val="22"/>
        </w:rPr>
      </w:pPr>
      <w:r>
        <w:rPr>
          <w:b/>
          <w:sz w:val="22"/>
          <w:szCs w:val="22"/>
        </w:rPr>
        <w:br w:type="page"/>
      </w:r>
    </w:p>
    <w:p w14:paraId="389DB5F6" w14:textId="36743AD3" w:rsidR="00C02303" w:rsidRPr="00A77F9F" w:rsidRDefault="009C5FA4" w:rsidP="00C02303">
      <w:pPr>
        <w:pBdr>
          <w:bottom w:val="single" w:sz="4" w:space="1" w:color="auto"/>
        </w:pBdr>
        <w:shd w:val="clear" w:color="auto" w:fill="8DB3E2" w:themeFill="text2" w:themeFillTint="66"/>
        <w:spacing w:after="120" w:line="240" w:lineRule="auto"/>
        <w:rPr>
          <w:b/>
          <w:sz w:val="22"/>
          <w:szCs w:val="22"/>
        </w:rPr>
      </w:pPr>
      <w:r w:rsidRPr="00A77F9F">
        <w:rPr>
          <w:b/>
          <w:sz w:val="22"/>
          <w:szCs w:val="22"/>
        </w:rPr>
        <w:lastRenderedPageBreak/>
        <w:t>Mise en situation et objectif</w:t>
      </w:r>
    </w:p>
    <w:p w14:paraId="155A6B2C" w14:textId="77777777" w:rsidR="00C02303" w:rsidRPr="00A77F9F" w:rsidRDefault="00C02303" w:rsidP="00C02303">
      <w:pPr>
        <w:spacing w:line="240" w:lineRule="auto"/>
        <w:jc w:val="both"/>
        <w:rPr>
          <w:sz w:val="22"/>
          <w:szCs w:val="22"/>
        </w:rPr>
      </w:pPr>
    </w:p>
    <w:p w14:paraId="48CE316E" w14:textId="77777777" w:rsidR="00976659" w:rsidRPr="00976659" w:rsidRDefault="0029629C" w:rsidP="00976659">
      <w:pPr>
        <w:spacing w:after="120" w:line="240" w:lineRule="auto"/>
        <w:jc w:val="both"/>
        <w:rPr>
          <w:sz w:val="22"/>
        </w:rPr>
      </w:pPr>
      <w:r>
        <w:rPr>
          <w:sz w:val="22"/>
        </w:rPr>
        <w:t xml:space="preserve">La destruction et le recyclage des globules rouges produit un déchet, la </w:t>
      </w:r>
      <w:r w:rsidRPr="00084A95">
        <w:rPr>
          <w:i/>
          <w:sz w:val="22"/>
        </w:rPr>
        <w:t>bilirubine</w:t>
      </w:r>
      <w:r>
        <w:rPr>
          <w:sz w:val="22"/>
        </w:rPr>
        <w:t xml:space="preserve">, qui peut être toxique pour l’organisme s’il s’accumule en trop grande quantité dans le sang. </w:t>
      </w:r>
      <w:r w:rsidRPr="00A1299A">
        <w:rPr>
          <w:sz w:val="22"/>
        </w:rPr>
        <w:t>L’</w:t>
      </w:r>
      <w:r>
        <w:rPr>
          <w:sz w:val="22"/>
        </w:rPr>
        <w:t xml:space="preserve">élimination des déchets de l’organisme est réalisée par le foie </w:t>
      </w:r>
      <w:r w:rsidR="00084A95">
        <w:rPr>
          <w:sz w:val="22"/>
        </w:rPr>
        <w:t xml:space="preserve">qui les rejette dans l’intestin (et donc </w:t>
      </w:r>
      <w:r w:rsidR="00736745">
        <w:rPr>
          <w:sz w:val="22"/>
        </w:rPr>
        <w:t xml:space="preserve">dans </w:t>
      </w:r>
      <w:r w:rsidR="00084A95">
        <w:rPr>
          <w:sz w:val="22"/>
        </w:rPr>
        <w:t xml:space="preserve">les excréments) </w:t>
      </w:r>
      <w:r>
        <w:rPr>
          <w:sz w:val="22"/>
        </w:rPr>
        <w:t>et par les reins</w:t>
      </w:r>
      <w:r w:rsidR="00084A95">
        <w:rPr>
          <w:sz w:val="22"/>
        </w:rPr>
        <w:t xml:space="preserve"> qui les rejettent</w:t>
      </w:r>
      <w:r>
        <w:rPr>
          <w:sz w:val="22"/>
        </w:rPr>
        <w:t xml:space="preserve"> dans l’urine.</w:t>
      </w:r>
    </w:p>
    <w:p w14:paraId="294B1683" w14:textId="77777777" w:rsidR="009C5FA4" w:rsidRDefault="00492A1E" w:rsidP="008F1B37">
      <w:pPr>
        <w:pStyle w:val="Paragraphedeliste"/>
        <w:tabs>
          <w:tab w:val="left" w:pos="5670"/>
        </w:tabs>
        <w:spacing w:before="120" w:after="120" w:line="240" w:lineRule="auto"/>
        <w:ind w:left="0"/>
        <w:contextualSpacing w:val="0"/>
        <w:jc w:val="both"/>
        <w:rPr>
          <w:b/>
          <w:sz w:val="22"/>
          <w:szCs w:val="22"/>
        </w:rPr>
      </w:pPr>
      <w:r>
        <w:rPr>
          <w:b/>
          <w:sz w:val="22"/>
          <w:szCs w:val="22"/>
        </w:rPr>
        <w:t>O</w:t>
      </w:r>
      <w:r w:rsidR="00A1299A" w:rsidRPr="00A1299A">
        <w:rPr>
          <w:b/>
          <w:sz w:val="22"/>
          <w:szCs w:val="22"/>
        </w:rPr>
        <w:t>n cherche à</w:t>
      </w:r>
      <w:r w:rsidR="00926A76">
        <w:rPr>
          <w:b/>
          <w:sz w:val="22"/>
          <w:szCs w:val="22"/>
        </w:rPr>
        <w:t xml:space="preserve"> montrer que l’activité enzymatique des bactéries intestinales permet l’élimination </w:t>
      </w:r>
      <w:r w:rsidR="0029629C">
        <w:rPr>
          <w:b/>
          <w:sz w:val="22"/>
          <w:szCs w:val="22"/>
        </w:rPr>
        <w:t xml:space="preserve">de la bilirubine et que cela </w:t>
      </w:r>
      <w:r w:rsidR="008C2FB4">
        <w:rPr>
          <w:b/>
          <w:sz w:val="22"/>
          <w:szCs w:val="22"/>
        </w:rPr>
        <w:t>contribue au</w:t>
      </w:r>
      <w:r w:rsidR="0029629C">
        <w:rPr>
          <w:b/>
          <w:sz w:val="22"/>
          <w:szCs w:val="22"/>
        </w:rPr>
        <w:t xml:space="preserve"> </w:t>
      </w:r>
      <w:r w:rsidR="008C2FB4">
        <w:rPr>
          <w:b/>
          <w:sz w:val="22"/>
          <w:szCs w:val="22"/>
        </w:rPr>
        <w:t>maintien d’une</w:t>
      </w:r>
      <w:r w:rsidR="0029629C">
        <w:rPr>
          <w:b/>
          <w:sz w:val="22"/>
          <w:szCs w:val="22"/>
        </w:rPr>
        <w:t xml:space="preserve"> bonne santé</w:t>
      </w:r>
      <w:r w:rsidR="00B17704">
        <w:rPr>
          <w:b/>
          <w:sz w:val="22"/>
          <w:szCs w:val="22"/>
        </w:rPr>
        <w:t>.</w:t>
      </w:r>
    </w:p>
    <w:p w14:paraId="40AB795B" w14:textId="77777777" w:rsidR="00926A76" w:rsidRDefault="0029629C" w:rsidP="00926A76">
      <w:pPr>
        <w:rPr>
          <w:b/>
          <w:sz w:val="22"/>
        </w:rPr>
      </w:pPr>
      <w:r>
        <w:rPr>
          <w:b/>
          <w:sz w:val="22"/>
        </w:rPr>
        <w:t xml:space="preserve">La stratégie adoptée comprend </w:t>
      </w:r>
      <w:r w:rsidR="00BB63D2">
        <w:rPr>
          <w:b/>
          <w:sz w:val="22"/>
        </w:rPr>
        <w:t>deux</w:t>
      </w:r>
      <w:r>
        <w:rPr>
          <w:b/>
          <w:sz w:val="22"/>
        </w:rPr>
        <w:t xml:space="preserve"> étapes</w:t>
      </w:r>
      <w:r w:rsidR="00926A76" w:rsidRPr="002E73B9">
        <w:rPr>
          <w:b/>
          <w:sz w:val="22"/>
        </w:rPr>
        <w:t> :</w:t>
      </w:r>
    </w:p>
    <w:p w14:paraId="0D5B62C4" w14:textId="77777777" w:rsidR="00926A76" w:rsidRDefault="0029629C" w:rsidP="0029629C">
      <w:pPr>
        <w:pStyle w:val="Paragraphedeliste"/>
        <w:numPr>
          <w:ilvl w:val="0"/>
          <w:numId w:val="30"/>
        </w:numPr>
        <w:rPr>
          <w:b/>
          <w:sz w:val="22"/>
        </w:rPr>
      </w:pPr>
      <w:r>
        <w:rPr>
          <w:b/>
          <w:sz w:val="22"/>
        </w:rPr>
        <w:t>La m</w:t>
      </w:r>
      <w:r w:rsidR="00926A76" w:rsidRPr="002E73B9">
        <w:rPr>
          <w:b/>
          <w:sz w:val="22"/>
        </w:rPr>
        <w:t xml:space="preserve">ise en évidence du rôle du microbiote dans la dégradation de </w:t>
      </w:r>
      <w:r w:rsidR="00AF2A8F">
        <w:rPr>
          <w:b/>
          <w:sz w:val="22"/>
        </w:rPr>
        <w:t>la bilirubine ;</w:t>
      </w:r>
    </w:p>
    <w:p w14:paraId="05E8B05B" w14:textId="77777777" w:rsidR="0029629C" w:rsidRPr="0029629C" w:rsidRDefault="0029629C" w:rsidP="0029629C">
      <w:pPr>
        <w:pStyle w:val="Paragraphedeliste"/>
        <w:numPr>
          <w:ilvl w:val="0"/>
          <w:numId w:val="30"/>
        </w:numPr>
        <w:rPr>
          <w:b/>
          <w:sz w:val="22"/>
        </w:rPr>
      </w:pPr>
      <w:r w:rsidRPr="0029629C">
        <w:rPr>
          <w:b/>
          <w:sz w:val="22"/>
        </w:rPr>
        <w:t xml:space="preserve">La démonstration de la </w:t>
      </w:r>
      <w:r w:rsidR="00926A76" w:rsidRPr="0029629C">
        <w:rPr>
          <w:b/>
          <w:sz w:val="22"/>
        </w:rPr>
        <w:t xml:space="preserve">mise en place progressive </w:t>
      </w:r>
      <w:r w:rsidRPr="0029629C">
        <w:rPr>
          <w:b/>
          <w:sz w:val="22"/>
        </w:rPr>
        <w:t xml:space="preserve">de cette dégradation </w:t>
      </w:r>
      <w:r w:rsidR="00926A76" w:rsidRPr="0029629C">
        <w:rPr>
          <w:b/>
          <w:sz w:val="22"/>
        </w:rPr>
        <w:t>chez le nouveau-né</w:t>
      </w:r>
      <w:r>
        <w:rPr>
          <w:b/>
          <w:sz w:val="22"/>
        </w:rPr>
        <w:t xml:space="preserve"> au fur et à mesure que son microbiote </w:t>
      </w:r>
      <w:r w:rsidR="00BB63D2">
        <w:rPr>
          <w:b/>
          <w:sz w:val="22"/>
        </w:rPr>
        <w:t xml:space="preserve">intestinal </w:t>
      </w:r>
      <w:r>
        <w:rPr>
          <w:b/>
          <w:sz w:val="22"/>
        </w:rPr>
        <w:t>s’installe</w:t>
      </w:r>
      <w:r w:rsidR="00BB63D2">
        <w:rPr>
          <w:b/>
          <w:sz w:val="22"/>
        </w:rPr>
        <w:t>.</w:t>
      </w:r>
    </w:p>
    <w:p w14:paraId="4AC23A8C" w14:textId="77777777" w:rsidR="00886BBB" w:rsidRDefault="00886BBB">
      <w:pPr>
        <w:rPr>
          <w:b/>
          <w:sz w:val="22"/>
          <w:szCs w:val="22"/>
        </w:rPr>
      </w:pPr>
    </w:p>
    <w:p w14:paraId="184CDC23" w14:textId="678FF372" w:rsidR="00725DF6" w:rsidRDefault="00725DF6">
      <w:pPr>
        <w:rPr>
          <w:b/>
          <w:sz w:val="22"/>
          <w:szCs w:val="22"/>
        </w:rPr>
      </w:pPr>
    </w:p>
    <w:p w14:paraId="68ECA09C" w14:textId="1ECE77F8" w:rsidR="00A127C8" w:rsidRDefault="00A127C8" w:rsidP="00A127C8">
      <w:pPr>
        <w:rPr>
          <w:b/>
          <w:sz w:val="22"/>
        </w:rPr>
      </w:pPr>
      <w:r>
        <w:rPr>
          <w:b/>
          <w:sz w:val="22"/>
        </w:rPr>
        <w:t>M</w:t>
      </w:r>
      <w:r w:rsidRPr="002E73B9">
        <w:rPr>
          <w:b/>
          <w:sz w:val="22"/>
        </w:rPr>
        <w:t xml:space="preserve">ise en évidence du rôle du microbiote dans la dégradation de </w:t>
      </w:r>
      <w:r>
        <w:rPr>
          <w:b/>
          <w:sz w:val="22"/>
        </w:rPr>
        <w:t>la bilirubine </w:t>
      </w:r>
    </w:p>
    <w:p w14:paraId="4EF4010D" w14:textId="77777777" w:rsidR="00A127C8" w:rsidRDefault="00A127C8" w:rsidP="00A127C8">
      <w:pPr>
        <w:rPr>
          <w:b/>
          <w:sz w:val="22"/>
        </w:rPr>
      </w:pPr>
    </w:p>
    <w:p w14:paraId="57A5E4EF" w14:textId="58DA6F7D" w:rsidR="00530500" w:rsidRPr="00A77F9F" w:rsidRDefault="00530500" w:rsidP="00530500">
      <w:pPr>
        <w:pBdr>
          <w:bottom w:val="single" w:sz="4" w:space="1" w:color="auto"/>
        </w:pBdr>
        <w:shd w:val="clear" w:color="auto" w:fill="8DB3E2" w:themeFill="text2" w:themeFillTint="66"/>
        <w:spacing w:after="120" w:line="240" w:lineRule="auto"/>
        <w:rPr>
          <w:b/>
          <w:sz w:val="22"/>
        </w:rPr>
      </w:pPr>
      <w:r w:rsidRPr="00A77F9F">
        <w:rPr>
          <w:b/>
          <w:sz w:val="22"/>
        </w:rPr>
        <w:t>Consigne</w:t>
      </w:r>
      <w:r>
        <w:rPr>
          <w:b/>
          <w:sz w:val="22"/>
        </w:rPr>
        <w:t>s activité 1</w:t>
      </w:r>
    </w:p>
    <w:p w14:paraId="124C83D6" w14:textId="77777777" w:rsidR="00530500" w:rsidRDefault="00530500" w:rsidP="00530500">
      <w:pPr>
        <w:rPr>
          <w:b/>
          <w:sz w:val="22"/>
        </w:rPr>
      </w:pPr>
    </w:p>
    <w:p w14:paraId="1C6A6882" w14:textId="2E137971" w:rsidR="00530500" w:rsidRPr="002E73B9" w:rsidRDefault="00E2465E" w:rsidP="00530500">
      <w:pPr>
        <w:rPr>
          <w:b/>
          <w:sz w:val="22"/>
        </w:rPr>
      </w:pPr>
      <w:r>
        <w:rPr>
          <w:b/>
          <w:sz w:val="22"/>
        </w:rPr>
        <w:t>On cherche à montrer que l’une des étapes de l’élimination de la bilirubine est réalisée par une enzyme produite dans l’intestin par des bactéries du microbiote, la bilirubine réductase, et non par une enzyme humaine.</w:t>
      </w:r>
    </w:p>
    <w:p w14:paraId="39380CCF" w14:textId="3A5EF8B9" w:rsidR="00530500" w:rsidRPr="00214D88" w:rsidRDefault="00E2465E" w:rsidP="00530500">
      <w:pPr>
        <w:rPr>
          <w:b/>
          <w:sz w:val="22"/>
        </w:rPr>
      </w:pPr>
      <w:r>
        <w:rPr>
          <w:b/>
          <w:sz w:val="22"/>
        </w:rPr>
        <w:t>La s</w:t>
      </w:r>
      <w:r w:rsidR="00530500" w:rsidRPr="00214D88">
        <w:rPr>
          <w:b/>
          <w:sz w:val="22"/>
        </w:rPr>
        <w:t xml:space="preserve">tratégie </w:t>
      </w:r>
      <w:r>
        <w:rPr>
          <w:b/>
          <w:sz w:val="22"/>
        </w:rPr>
        <w:t>adoptée consiste à :</w:t>
      </w:r>
    </w:p>
    <w:p w14:paraId="365022EA" w14:textId="666903A6" w:rsidR="00530500" w:rsidRPr="00E2465E" w:rsidRDefault="00E2465E" w:rsidP="00530500">
      <w:pPr>
        <w:pStyle w:val="Paragraphedeliste"/>
        <w:numPr>
          <w:ilvl w:val="0"/>
          <w:numId w:val="25"/>
        </w:numPr>
        <w:rPr>
          <w:b/>
          <w:bCs/>
          <w:sz w:val="22"/>
        </w:rPr>
      </w:pPr>
      <w:r w:rsidRPr="00E2465E">
        <w:rPr>
          <w:b/>
          <w:bCs/>
          <w:sz w:val="22"/>
        </w:rPr>
        <w:t xml:space="preserve">Rechercher dans une base de données de séquences génétiques quels organismes </w:t>
      </w:r>
      <w:proofErr w:type="gramStart"/>
      <w:r w:rsidRPr="00E2465E">
        <w:rPr>
          <w:b/>
          <w:bCs/>
          <w:sz w:val="22"/>
        </w:rPr>
        <w:t>possèdent</w:t>
      </w:r>
      <w:proofErr w:type="gramEnd"/>
      <w:r w:rsidRPr="00E2465E">
        <w:rPr>
          <w:b/>
          <w:bCs/>
          <w:sz w:val="22"/>
        </w:rPr>
        <w:t xml:space="preserve"> le gène de la </w:t>
      </w:r>
      <w:r w:rsidR="00824DEE">
        <w:rPr>
          <w:b/>
          <w:bCs/>
          <w:sz w:val="22"/>
        </w:rPr>
        <w:t>b</w:t>
      </w:r>
      <w:r w:rsidRPr="00E2465E">
        <w:rPr>
          <w:b/>
          <w:bCs/>
          <w:sz w:val="22"/>
        </w:rPr>
        <w:t>ilirubine réductase ;</w:t>
      </w:r>
    </w:p>
    <w:p w14:paraId="0EAD7378" w14:textId="42641A57" w:rsidR="00E2465E" w:rsidRPr="00E2465E" w:rsidRDefault="00E2465E" w:rsidP="00530500">
      <w:pPr>
        <w:pStyle w:val="Paragraphedeliste"/>
        <w:numPr>
          <w:ilvl w:val="0"/>
          <w:numId w:val="25"/>
        </w:numPr>
        <w:rPr>
          <w:b/>
          <w:bCs/>
          <w:sz w:val="22"/>
        </w:rPr>
      </w:pPr>
      <w:r w:rsidRPr="00E2465E">
        <w:rPr>
          <w:b/>
          <w:bCs/>
          <w:sz w:val="22"/>
        </w:rPr>
        <w:t xml:space="preserve">Comparer les résultats obtenus à la composition du microbiote humain. </w:t>
      </w:r>
    </w:p>
    <w:p w14:paraId="3B5829F3" w14:textId="77777777" w:rsidR="00530500" w:rsidRDefault="00530500" w:rsidP="00530500">
      <w:pPr>
        <w:widowControl w:val="0"/>
        <w:spacing w:afterLines="60" w:after="144" w:line="240" w:lineRule="auto"/>
        <w:rPr>
          <w:rFonts w:cs="Arial"/>
          <w:snapToGrid w:val="0"/>
          <w:sz w:val="22"/>
        </w:rPr>
      </w:pPr>
    </w:p>
    <w:p w14:paraId="404E18EF" w14:textId="77777777" w:rsidR="00C02303" w:rsidRPr="00A77F9F" w:rsidRDefault="00615EC4" w:rsidP="00B4449C">
      <w:pPr>
        <w:pBdr>
          <w:bottom w:val="single" w:sz="4" w:space="1" w:color="auto"/>
        </w:pBdr>
        <w:shd w:val="clear" w:color="auto" w:fill="8DB3E2" w:themeFill="text2" w:themeFillTint="66"/>
        <w:spacing w:after="120" w:line="240" w:lineRule="auto"/>
        <w:rPr>
          <w:b/>
          <w:sz w:val="22"/>
          <w:szCs w:val="22"/>
        </w:rPr>
      </w:pPr>
      <w:r>
        <w:rPr>
          <w:b/>
          <w:sz w:val="22"/>
          <w:szCs w:val="22"/>
        </w:rPr>
        <w:t>Ressources</w:t>
      </w:r>
      <w:r w:rsidR="00926A76">
        <w:rPr>
          <w:b/>
          <w:sz w:val="22"/>
          <w:szCs w:val="22"/>
        </w:rPr>
        <w:t xml:space="preserve"> </w:t>
      </w:r>
      <w:r w:rsidR="00E10903">
        <w:rPr>
          <w:b/>
          <w:sz w:val="22"/>
          <w:szCs w:val="22"/>
        </w:rPr>
        <w:t>de l’</w:t>
      </w:r>
      <w:r w:rsidR="00926A76">
        <w:rPr>
          <w:b/>
          <w:sz w:val="22"/>
          <w:szCs w:val="22"/>
        </w:rPr>
        <w:t>activité 1</w:t>
      </w:r>
    </w:p>
    <w:p w14:paraId="0F1F5182" w14:textId="77777777" w:rsidR="00B4449C" w:rsidRDefault="00B4449C" w:rsidP="00C02303">
      <w:pPr>
        <w:spacing w:line="240" w:lineRule="auto"/>
        <w:rPr>
          <w:b/>
          <w:sz w:val="22"/>
        </w:rPr>
      </w:pPr>
    </w:p>
    <w:p w14:paraId="3F86A30C" w14:textId="77777777" w:rsidR="00B4449C" w:rsidRPr="00DB14A5" w:rsidRDefault="00B4449C" w:rsidP="00C02303">
      <w:pPr>
        <w:spacing w:line="240" w:lineRule="auto"/>
        <w:rPr>
          <w:sz w:val="2"/>
        </w:rPr>
      </w:pPr>
    </w:p>
    <w:tbl>
      <w:tblPr>
        <w:tblStyle w:val="Grilledutableau"/>
        <w:tblW w:w="9067" w:type="dxa"/>
        <w:tblLayout w:type="fixed"/>
        <w:tblLook w:val="04A0" w:firstRow="1" w:lastRow="0" w:firstColumn="1" w:lastColumn="0" w:noHBand="0" w:noVBand="1"/>
      </w:tblPr>
      <w:tblGrid>
        <w:gridCol w:w="9067"/>
      </w:tblGrid>
      <w:tr w:rsidR="00C02303" w:rsidRPr="000F53A6" w14:paraId="0D7CDFBF" w14:textId="77777777" w:rsidTr="00D16459">
        <w:trPr>
          <w:trHeight w:val="58"/>
        </w:trPr>
        <w:tc>
          <w:tcPr>
            <w:tcW w:w="9067" w:type="dxa"/>
            <w:tcBorders>
              <w:top w:val="single" w:sz="4" w:space="0" w:color="auto"/>
              <w:bottom w:val="single" w:sz="4" w:space="0" w:color="auto"/>
            </w:tcBorders>
          </w:tcPr>
          <w:p w14:paraId="2B29CD64" w14:textId="77777777" w:rsidR="00B8656F" w:rsidRDefault="00B8656F" w:rsidP="00B8656F">
            <w:pPr>
              <w:autoSpaceDE w:val="0"/>
              <w:autoSpaceDN w:val="0"/>
              <w:adjustRightInd w:val="0"/>
              <w:rPr>
                <w:rFonts w:cs="Calibri"/>
                <w:sz w:val="22"/>
                <w:szCs w:val="22"/>
              </w:rPr>
            </w:pPr>
            <w:r w:rsidRPr="00A77F9F">
              <w:rPr>
                <w:b/>
                <w:sz w:val="22"/>
                <w:szCs w:val="22"/>
              </w:rPr>
              <w:t>Document</w:t>
            </w:r>
            <w:r w:rsidRPr="00A77F9F">
              <w:rPr>
                <w:sz w:val="22"/>
                <w:szCs w:val="22"/>
              </w:rPr>
              <w:t xml:space="preserve"> </w:t>
            </w:r>
            <w:r w:rsidRPr="00A77F9F">
              <w:rPr>
                <w:b/>
                <w:sz w:val="22"/>
                <w:szCs w:val="22"/>
              </w:rPr>
              <w:t xml:space="preserve">1 </w:t>
            </w:r>
            <w:r w:rsidRPr="00A77F9F">
              <w:rPr>
                <w:sz w:val="22"/>
                <w:szCs w:val="22"/>
              </w:rPr>
              <w:t>:</w:t>
            </w:r>
            <w:r>
              <w:rPr>
                <w:sz w:val="22"/>
                <w:szCs w:val="22"/>
              </w:rPr>
              <w:t xml:space="preserve"> </w:t>
            </w:r>
            <w:r w:rsidR="00201F53">
              <w:rPr>
                <w:sz w:val="22"/>
                <w:szCs w:val="22"/>
              </w:rPr>
              <w:t xml:space="preserve">Voies de </w:t>
            </w:r>
            <w:r w:rsidR="00926A76">
              <w:rPr>
                <w:rFonts w:cs="Calibri"/>
                <w:sz w:val="22"/>
                <w:szCs w:val="22"/>
              </w:rPr>
              <w:t xml:space="preserve">dégradation </w:t>
            </w:r>
            <w:r w:rsidR="00201F53">
              <w:rPr>
                <w:rFonts w:cs="Calibri"/>
                <w:sz w:val="22"/>
                <w:szCs w:val="22"/>
              </w:rPr>
              <w:t xml:space="preserve">et d’élimination </w:t>
            </w:r>
            <w:r w:rsidR="00926A76">
              <w:rPr>
                <w:rFonts w:cs="Calibri"/>
                <w:sz w:val="22"/>
                <w:szCs w:val="22"/>
              </w:rPr>
              <w:t>de l’hème</w:t>
            </w:r>
          </w:p>
          <w:p w14:paraId="7DB93A7C" w14:textId="77777777" w:rsidR="00B8656F" w:rsidRDefault="00B8656F" w:rsidP="00D11AE3">
            <w:pPr>
              <w:autoSpaceDE w:val="0"/>
              <w:autoSpaceDN w:val="0"/>
              <w:adjustRightInd w:val="0"/>
              <w:rPr>
                <w:sz w:val="20"/>
                <w:szCs w:val="20"/>
              </w:rPr>
            </w:pPr>
            <w:r w:rsidRPr="006178A5">
              <w:rPr>
                <w:sz w:val="20"/>
                <w:szCs w:val="20"/>
                <w:lang w:val="en-US"/>
              </w:rPr>
              <w:t xml:space="preserve">Source : </w:t>
            </w:r>
            <w:proofErr w:type="spellStart"/>
            <w:r w:rsidR="00D11AE3" w:rsidRPr="006178A5">
              <w:rPr>
                <w:sz w:val="20"/>
                <w:szCs w:val="20"/>
                <w:lang w:val="en-US"/>
              </w:rPr>
              <w:t>simpliflié</w:t>
            </w:r>
            <w:proofErr w:type="spellEnd"/>
            <w:r w:rsidR="00284269" w:rsidRPr="006178A5">
              <w:rPr>
                <w:sz w:val="20"/>
                <w:szCs w:val="20"/>
                <w:lang w:val="en-US"/>
              </w:rPr>
              <w:t xml:space="preserve"> </w:t>
            </w:r>
            <w:proofErr w:type="spellStart"/>
            <w:r w:rsidR="00284269" w:rsidRPr="006178A5">
              <w:rPr>
                <w:sz w:val="20"/>
                <w:szCs w:val="20"/>
                <w:lang w:val="en-US"/>
              </w:rPr>
              <w:t>d’après</w:t>
            </w:r>
            <w:proofErr w:type="spellEnd"/>
            <w:r w:rsidR="00284269" w:rsidRPr="006178A5">
              <w:rPr>
                <w:sz w:val="20"/>
                <w:szCs w:val="20"/>
                <w:lang w:val="en-US"/>
              </w:rPr>
              <w:t xml:space="preserve"> </w:t>
            </w:r>
            <w:hyperlink r:id="rId7" w:history="1">
              <w:r w:rsidR="00014C6B" w:rsidRPr="006178A5">
                <w:rPr>
                  <w:rStyle w:val="Lienhypertexte"/>
                  <w:sz w:val="20"/>
                  <w:szCs w:val="20"/>
                  <w:lang w:val="en-US"/>
                </w:rPr>
                <w:t xml:space="preserve">Hall, B., Levy, S., Dufault-Thompson, K. et al. </w:t>
              </w:r>
              <w:proofErr w:type="spellStart"/>
              <w:r w:rsidR="00014C6B" w:rsidRPr="00D26B08">
                <w:rPr>
                  <w:rStyle w:val="Lienhypertexte"/>
                  <w:sz w:val="20"/>
                  <w:szCs w:val="20"/>
                  <w:lang w:val="en-US"/>
                </w:rPr>
                <w:t>BilR</w:t>
              </w:r>
              <w:proofErr w:type="spellEnd"/>
              <w:r w:rsidR="00014C6B" w:rsidRPr="00D26B08">
                <w:rPr>
                  <w:rStyle w:val="Lienhypertexte"/>
                  <w:sz w:val="20"/>
                  <w:szCs w:val="20"/>
                  <w:lang w:val="en-US"/>
                </w:rPr>
                <w:t xml:space="preserve"> is a gut microbial enzyme that reduces bilirubin to urobilinogen. </w:t>
              </w:r>
              <w:r w:rsidR="00014C6B" w:rsidRPr="00D26B08">
                <w:rPr>
                  <w:rStyle w:val="Lienhypertexte"/>
                  <w:sz w:val="20"/>
                  <w:szCs w:val="20"/>
                </w:rPr>
                <w:t xml:space="preserve">Nat </w:t>
              </w:r>
              <w:proofErr w:type="spellStart"/>
              <w:r w:rsidR="00014C6B" w:rsidRPr="00D26B08">
                <w:rPr>
                  <w:rStyle w:val="Lienhypertexte"/>
                  <w:sz w:val="20"/>
                  <w:szCs w:val="20"/>
                </w:rPr>
                <w:t>Mic</w:t>
              </w:r>
              <w:r w:rsidR="00014C6B" w:rsidRPr="00D26B08">
                <w:rPr>
                  <w:rStyle w:val="Lienhypertexte"/>
                  <w:sz w:val="20"/>
                  <w:szCs w:val="20"/>
                </w:rPr>
                <w:t>r</w:t>
              </w:r>
              <w:r w:rsidR="00014C6B" w:rsidRPr="00D26B08">
                <w:rPr>
                  <w:rStyle w:val="Lienhypertexte"/>
                  <w:sz w:val="20"/>
                  <w:szCs w:val="20"/>
                </w:rPr>
                <w:t>obiol</w:t>
              </w:r>
              <w:proofErr w:type="spellEnd"/>
              <w:r w:rsidR="00014C6B" w:rsidRPr="00D26B08">
                <w:rPr>
                  <w:rStyle w:val="Lienhypertexte"/>
                  <w:sz w:val="20"/>
                  <w:szCs w:val="20"/>
                </w:rPr>
                <w:t xml:space="preserve"> 9, 173–184 (2024</w:t>
              </w:r>
            </w:hyperlink>
            <w:r w:rsidR="00014C6B" w:rsidRPr="00014C6B">
              <w:rPr>
                <w:sz w:val="20"/>
                <w:szCs w:val="20"/>
              </w:rPr>
              <w:t>)</w:t>
            </w:r>
          </w:p>
          <w:p w14:paraId="460599FD" w14:textId="77777777" w:rsidR="00D11AE3" w:rsidRPr="00D11AE3" w:rsidRDefault="00D11AE3" w:rsidP="00D11AE3">
            <w:pPr>
              <w:autoSpaceDE w:val="0"/>
              <w:autoSpaceDN w:val="0"/>
              <w:adjustRightInd w:val="0"/>
              <w:rPr>
                <w:sz w:val="20"/>
                <w:szCs w:val="20"/>
              </w:rPr>
            </w:pPr>
          </w:p>
          <w:p w14:paraId="5FF14AF6" w14:textId="77777777" w:rsidR="00926A76" w:rsidRDefault="00D11AE3" w:rsidP="00B8656F">
            <w:pPr>
              <w:jc w:val="both"/>
              <w:rPr>
                <w:sz w:val="22"/>
              </w:rPr>
            </w:pPr>
            <w:r>
              <w:rPr>
                <w:noProof/>
                <w:sz w:val="22"/>
              </w:rPr>
              <w:lastRenderedPageBreak/>
              <w:drawing>
                <wp:inline distT="0" distB="0" distL="0" distR="0" wp14:anchorId="3C8AD952" wp14:editId="35BFFD46">
                  <wp:extent cx="5620385" cy="3336290"/>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limination_bilirubine_simplifi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620385" cy="3336290"/>
                          </a:xfrm>
                          <a:prstGeom prst="rect">
                            <a:avLst/>
                          </a:prstGeom>
                        </pic:spPr>
                      </pic:pic>
                    </a:graphicData>
                  </a:graphic>
                </wp:inline>
              </w:drawing>
            </w:r>
          </w:p>
          <w:p w14:paraId="46D5A738" w14:textId="77777777" w:rsidR="00985807" w:rsidRPr="00B8656F" w:rsidRDefault="00201F53" w:rsidP="00B8656F">
            <w:pPr>
              <w:jc w:val="both"/>
              <w:rPr>
                <w:sz w:val="22"/>
              </w:rPr>
            </w:pPr>
            <w:r>
              <w:rPr>
                <w:sz w:val="22"/>
              </w:rPr>
              <w:t>Les globules rouges ont une durée de vie limitée, environ 120 jours. En fin de vie, ils s</w:t>
            </w:r>
            <w:r w:rsidR="00D26B08">
              <w:rPr>
                <w:sz w:val="22"/>
              </w:rPr>
              <w:t>ont</w:t>
            </w:r>
            <w:r>
              <w:rPr>
                <w:sz w:val="22"/>
              </w:rPr>
              <w:t xml:space="preserve"> détrui</w:t>
            </w:r>
            <w:r w:rsidR="00D26B08">
              <w:rPr>
                <w:sz w:val="22"/>
              </w:rPr>
              <w:t>t</w:t>
            </w:r>
            <w:r>
              <w:rPr>
                <w:sz w:val="22"/>
              </w:rPr>
              <w:t>s</w:t>
            </w:r>
            <w:r w:rsidR="00D26B08">
              <w:rPr>
                <w:sz w:val="22"/>
              </w:rPr>
              <w:t xml:space="preserve"> par les cellules immunitaires</w:t>
            </w:r>
            <w:r>
              <w:rPr>
                <w:sz w:val="22"/>
              </w:rPr>
              <w:t xml:space="preserve"> et leur contenu en hémoglobine est transformé en </w:t>
            </w:r>
            <w:r w:rsidRPr="00C9342C">
              <w:rPr>
                <w:b/>
                <w:sz w:val="22"/>
              </w:rPr>
              <w:t>bilirubine</w:t>
            </w:r>
            <w:r>
              <w:rPr>
                <w:sz w:val="22"/>
              </w:rPr>
              <w:t xml:space="preserve">, </w:t>
            </w:r>
            <w:r w:rsidR="00D26B08">
              <w:rPr>
                <w:sz w:val="22"/>
              </w:rPr>
              <w:t>de couleur</w:t>
            </w:r>
            <w:r>
              <w:rPr>
                <w:sz w:val="22"/>
              </w:rPr>
              <w:t xml:space="preserve"> </w:t>
            </w:r>
            <w:r w:rsidRPr="00D26B08">
              <w:rPr>
                <w:b/>
                <w:sz w:val="22"/>
              </w:rPr>
              <w:t>rouge-orangé</w:t>
            </w:r>
            <w:r>
              <w:rPr>
                <w:sz w:val="22"/>
              </w:rPr>
              <w:t xml:space="preserve">. Ainsi chaque jour </w:t>
            </w:r>
            <w:r w:rsidRPr="00201F53">
              <w:rPr>
                <w:sz w:val="22"/>
              </w:rPr>
              <w:t>250 à 350 milligrammes de bilirubine</w:t>
            </w:r>
            <w:r>
              <w:rPr>
                <w:sz w:val="22"/>
              </w:rPr>
              <w:t xml:space="preserve"> sont produits et transportés jusqu’au foie.</w:t>
            </w:r>
            <w:r w:rsidR="00C9342C">
              <w:rPr>
                <w:sz w:val="22"/>
              </w:rPr>
              <w:t xml:space="preserve"> </w:t>
            </w:r>
            <w:r>
              <w:rPr>
                <w:sz w:val="22"/>
              </w:rPr>
              <w:t xml:space="preserve">Le foie </w:t>
            </w:r>
            <w:r w:rsidR="00D11AE3">
              <w:rPr>
                <w:sz w:val="22"/>
              </w:rPr>
              <w:t>les rejette</w:t>
            </w:r>
            <w:r>
              <w:rPr>
                <w:sz w:val="22"/>
              </w:rPr>
              <w:t xml:space="preserve"> dans l’intestin</w:t>
            </w:r>
            <w:r w:rsidR="00C9342C">
              <w:rPr>
                <w:sz w:val="22"/>
              </w:rPr>
              <w:t xml:space="preserve"> en passant par le canal biliaire</w:t>
            </w:r>
            <w:r>
              <w:rPr>
                <w:sz w:val="22"/>
              </w:rPr>
              <w:t>.</w:t>
            </w:r>
            <w:r w:rsidR="00C9342C">
              <w:rPr>
                <w:sz w:val="22"/>
              </w:rPr>
              <w:t xml:space="preserve"> Dans l’intestin</w:t>
            </w:r>
            <w:r w:rsidR="00D11AE3">
              <w:rPr>
                <w:sz w:val="22"/>
              </w:rPr>
              <w:t>,</w:t>
            </w:r>
            <w:r w:rsidR="00C9342C">
              <w:rPr>
                <w:sz w:val="22"/>
              </w:rPr>
              <w:t xml:space="preserve"> </w:t>
            </w:r>
            <w:r w:rsidRPr="00201F53">
              <w:rPr>
                <w:sz w:val="22"/>
              </w:rPr>
              <w:t>la</w:t>
            </w:r>
            <w:r w:rsidR="00D11AE3">
              <w:rPr>
                <w:sz w:val="22"/>
              </w:rPr>
              <w:t xml:space="preserve"> bilirubine est</w:t>
            </w:r>
            <w:r w:rsidRPr="00201F53">
              <w:rPr>
                <w:sz w:val="22"/>
              </w:rPr>
              <w:t xml:space="preserve"> transform</w:t>
            </w:r>
            <w:r w:rsidR="00D11AE3">
              <w:rPr>
                <w:sz w:val="22"/>
              </w:rPr>
              <w:t>ée</w:t>
            </w:r>
            <w:r w:rsidRPr="00201F53">
              <w:rPr>
                <w:sz w:val="22"/>
              </w:rPr>
              <w:t xml:space="preserve"> en </w:t>
            </w:r>
            <w:r w:rsidRPr="00C9342C">
              <w:rPr>
                <w:b/>
                <w:sz w:val="22"/>
              </w:rPr>
              <w:t>urobilinogène</w:t>
            </w:r>
            <w:r w:rsidR="00D26B08">
              <w:rPr>
                <w:b/>
                <w:sz w:val="22"/>
              </w:rPr>
              <w:t>, incolore</w:t>
            </w:r>
            <w:r w:rsidRPr="00201F53">
              <w:rPr>
                <w:sz w:val="22"/>
              </w:rPr>
              <w:t xml:space="preserve">. </w:t>
            </w:r>
            <w:r w:rsidR="00C9342C">
              <w:rPr>
                <w:sz w:val="22"/>
              </w:rPr>
              <w:t>Une partie de l’urobilinogène est réabsorbée dans le sang puis éliminé</w:t>
            </w:r>
            <w:r w:rsidR="00D26B08">
              <w:rPr>
                <w:sz w:val="22"/>
              </w:rPr>
              <w:t>e</w:t>
            </w:r>
            <w:r w:rsidR="00C9342C">
              <w:rPr>
                <w:sz w:val="22"/>
              </w:rPr>
              <w:t xml:space="preserve"> par les reins. Dans l’urine, l’urobilinogène </w:t>
            </w:r>
            <w:r w:rsidRPr="00201F53">
              <w:rPr>
                <w:sz w:val="22"/>
              </w:rPr>
              <w:t xml:space="preserve">se décompose spontanément en </w:t>
            </w:r>
            <w:r w:rsidRPr="00C9342C">
              <w:rPr>
                <w:b/>
                <w:sz w:val="22"/>
              </w:rPr>
              <w:t>urobiline</w:t>
            </w:r>
            <w:r w:rsidR="00C9342C">
              <w:rPr>
                <w:sz w:val="22"/>
              </w:rPr>
              <w:t xml:space="preserve"> et lui donne sa couleur </w:t>
            </w:r>
            <w:r w:rsidR="00C9342C" w:rsidRPr="00D26B08">
              <w:rPr>
                <w:b/>
                <w:sz w:val="22"/>
              </w:rPr>
              <w:t>jaune</w:t>
            </w:r>
            <w:r w:rsidR="00C9342C">
              <w:rPr>
                <w:sz w:val="22"/>
              </w:rPr>
              <w:t xml:space="preserve">. L’urobilinogène restant dans l’intestin </w:t>
            </w:r>
            <w:r w:rsidR="00D11AE3">
              <w:rPr>
                <w:sz w:val="22"/>
              </w:rPr>
              <w:t>est</w:t>
            </w:r>
            <w:r w:rsidR="00C9342C">
              <w:rPr>
                <w:sz w:val="22"/>
              </w:rPr>
              <w:t xml:space="preserve"> transform</w:t>
            </w:r>
            <w:r w:rsidR="00D11AE3">
              <w:rPr>
                <w:sz w:val="22"/>
              </w:rPr>
              <w:t>é</w:t>
            </w:r>
            <w:r w:rsidR="00C9342C">
              <w:rPr>
                <w:sz w:val="22"/>
              </w:rPr>
              <w:t xml:space="preserve"> en </w:t>
            </w:r>
            <w:r w:rsidR="00C9342C" w:rsidRPr="00C9342C">
              <w:rPr>
                <w:b/>
                <w:sz w:val="22"/>
              </w:rPr>
              <w:t>stercobiline</w:t>
            </w:r>
            <w:r w:rsidR="00C9342C">
              <w:rPr>
                <w:sz w:val="22"/>
              </w:rPr>
              <w:t xml:space="preserve">, de couleur </w:t>
            </w:r>
            <w:r w:rsidR="00C9342C" w:rsidRPr="00D26B08">
              <w:rPr>
                <w:b/>
                <w:sz w:val="22"/>
              </w:rPr>
              <w:t>marron</w:t>
            </w:r>
            <w:r w:rsidR="00C9342C">
              <w:rPr>
                <w:sz w:val="22"/>
              </w:rPr>
              <w:t xml:space="preserve">, ce qui colore les </w:t>
            </w:r>
            <w:r w:rsidR="008E7D29">
              <w:rPr>
                <w:sz w:val="22"/>
              </w:rPr>
              <w:t>excréments</w:t>
            </w:r>
            <w:r w:rsidR="00C9342C">
              <w:rPr>
                <w:sz w:val="22"/>
              </w:rPr>
              <w:t>.</w:t>
            </w:r>
          </w:p>
        </w:tc>
      </w:tr>
    </w:tbl>
    <w:p w14:paraId="0AA0520B" w14:textId="38526FFA" w:rsidR="00E2465E" w:rsidRDefault="00E2465E">
      <w:pPr>
        <w:rPr>
          <w:sz w:val="16"/>
        </w:rPr>
      </w:pPr>
      <w:r>
        <w:rPr>
          <w:sz w:val="16"/>
        </w:rPr>
        <w:lastRenderedPageBreak/>
        <w:br w:type="page"/>
      </w:r>
    </w:p>
    <w:p w14:paraId="4D9E920D" w14:textId="77777777" w:rsidR="00B4449C" w:rsidRPr="00A77F9F" w:rsidRDefault="00B4449C">
      <w:pPr>
        <w:rPr>
          <w:sz w:val="16"/>
        </w:rPr>
      </w:pPr>
    </w:p>
    <w:tbl>
      <w:tblPr>
        <w:tblStyle w:val="Grilledutableau"/>
        <w:tblW w:w="0" w:type="auto"/>
        <w:tblLook w:val="04A0" w:firstRow="1" w:lastRow="0" w:firstColumn="1" w:lastColumn="0" w:noHBand="0" w:noVBand="1"/>
      </w:tblPr>
      <w:tblGrid>
        <w:gridCol w:w="9062"/>
      </w:tblGrid>
      <w:tr w:rsidR="00985807" w14:paraId="0F459E87" w14:textId="77777777" w:rsidTr="00985807">
        <w:tc>
          <w:tcPr>
            <w:tcW w:w="9212" w:type="dxa"/>
          </w:tcPr>
          <w:p w14:paraId="4378378D" w14:textId="77777777" w:rsidR="00B8656F" w:rsidRDefault="00B8656F" w:rsidP="00B8656F">
            <w:pPr>
              <w:autoSpaceDE w:val="0"/>
              <w:autoSpaceDN w:val="0"/>
              <w:adjustRightInd w:val="0"/>
              <w:rPr>
                <w:rFonts w:cs="Calibri"/>
                <w:sz w:val="22"/>
                <w:szCs w:val="22"/>
              </w:rPr>
            </w:pPr>
            <w:r w:rsidRPr="00A77F9F">
              <w:rPr>
                <w:b/>
                <w:sz w:val="22"/>
                <w:szCs w:val="22"/>
              </w:rPr>
              <w:t>Document</w:t>
            </w:r>
            <w:r w:rsidRPr="00A77F9F">
              <w:rPr>
                <w:sz w:val="22"/>
                <w:szCs w:val="22"/>
              </w:rPr>
              <w:t xml:space="preserve"> </w:t>
            </w:r>
            <w:r>
              <w:rPr>
                <w:b/>
                <w:sz w:val="22"/>
                <w:szCs w:val="22"/>
              </w:rPr>
              <w:t>2</w:t>
            </w:r>
            <w:r w:rsidRPr="00A77F9F">
              <w:rPr>
                <w:b/>
                <w:sz w:val="22"/>
                <w:szCs w:val="22"/>
              </w:rPr>
              <w:t xml:space="preserve"> </w:t>
            </w:r>
            <w:r w:rsidRPr="00A77F9F">
              <w:rPr>
                <w:sz w:val="22"/>
                <w:szCs w:val="22"/>
              </w:rPr>
              <w:t>:</w:t>
            </w:r>
            <w:r>
              <w:rPr>
                <w:sz w:val="22"/>
                <w:szCs w:val="22"/>
              </w:rPr>
              <w:t xml:space="preserve"> </w:t>
            </w:r>
            <w:r w:rsidR="006178A5">
              <w:rPr>
                <w:sz w:val="22"/>
                <w:szCs w:val="22"/>
              </w:rPr>
              <w:t xml:space="preserve">Intervention de l’enzyme </w:t>
            </w:r>
            <w:proofErr w:type="spellStart"/>
            <w:r w:rsidR="006178A5">
              <w:rPr>
                <w:sz w:val="22"/>
                <w:szCs w:val="22"/>
              </w:rPr>
              <w:t>bilR</w:t>
            </w:r>
            <w:proofErr w:type="spellEnd"/>
            <w:r w:rsidR="006178A5">
              <w:rPr>
                <w:sz w:val="22"/>
                <w:szCs w:val="22"/>
              </w:rPr>
              <w:t xml:space="preserve"> (bilirubine réductase) dans l’élimination de la bilirubine</w:t>
            </w:r>
            <w:r>
              <w:rPr>
                <w:rFonts w:cs="Calibri"/>
                <w:sz w:val="22"/>
                <w:szCs w:val="22"/>
              </w:rPr>
              <w:t xml:space="preserve"> </w:t>
            </w:r>
          </w:p>
          <w:p w14:paraId="75F807F7" w14:textId="77777777" w:rsidR="00985807" w:rsidRDefault="00985807" w:rsidP="00985807">
            <w:pPr>
              <w:rPr>
                <w:sz w:val="22"/>
              </w:rPr>
            </w:pPr>
          </w:p>
          <w:p w14:paraId="47569693" w14:textId="77777777" w:rsidR="006178A5" w:rsidRDefault="006178A5" w:rsidP="00985807">
            <w:pPr>
              <w:rPr>
                <w:sz w:val="22"/>
              </w:rPr>
            </w:pPr>
            <w:r>
              <w:rPr>
                <w:sz w:val="22"/>
              </w:rPr>
              <w:t>La bilirubine réductase est une enzyme qui permet la transformation de la bilirubine en urobilinogène</w:t>
            </w:r>
            <w:r w:rsidR="008E7D29">
              <w:rPr>
                <w:sz w:val="22"/>
              </w:rPr>
              <w:t xml:space="preserve"> dans l’intestin</w:t>
            </w:r>
            <w:r>
              <w:rPr>
                <w:sz w:val="22"/>
              </w:rPr>
              <w:t>.</w:t>
            </w:r>
          </w:p>
          <w:p w14:paraId="5FDB6B61" w14:textId="77777777" w:rsidR="006178A5" w:rsidRDefault="004B20B4" w:rsidP="004B20B4">
            <w:pPr>
              <w:jc w:val="center"/>
              <w:rPr>
                <w:sz w:val="22"/>
              </w:rPr>
            </w:pPr>
            <w:r>
              <w:rPr>
                <w:noProof/>
                <w:sz w:val="22"/>
              </w:rPr>
              <w:drawing>
                <wp:inline distT="0" distB="0" distL="0" distR="0" wp14:anchorId="21644225" wp14:editId="1E4A4582">
                  <wp:extent cx="2846717" cy="1952725"/>
                  <wp:effectExtent l="0" t="0" r="0" b="952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action_reduction_bilirubine.PNG"/>
                          <pic:cNvPicPr/>
                        </pic:nvPicPr>
                        <pic:blipFill>
                          <a:blip r:embed="rId9">
                            <a:extLst>
                              <a:ext uri="{28A0092B-C50C-407E-A947-70E740481C1C}">
                                <a14:useLocalDpi xmlns:a14="http://schemas.microsoft.com/office/drawing/2010/main" val="0"/>
                              </a:ext>
                            </a:extLst>
                          </a:blip>
                          <a:stretch>
                            <a:fillRect/>
                          </a:stretch>
                        </pic:blipFill>
                        <pic:spPr>
                          <a:xfrm>
                            <a:off x="0" y="0"/>
                            <a:ext cx="2854807" cy="1958274"/>
                          </a:xfrm>
                          <a:prstGeom prst="rect">
                            <a:avLst/>
                          </a:prstGeom>
                        </pic:spPr>
                      </pic:pic>
                    </a:graphicData>
                  </a:graphic>
                </wp:inline>
              </w:drawing>
            </w:r>
          </w:p>
          <w:p w14:paraId="7FB34A3E" w14:textId="77777777" w:rsidR="006178A5" w:rsidRDefault="006178A5" w:rsidP="00985807">
            <w:pPr>
              <w:rPr>
                <w:sz w:val="22"/>
              </w:rPr>
            </w:pPr>
          </w:p>
          <w:p w14:paraId="1C341CD8" w14:textId="77777777" w:rsidR="006178A5" w:rsidRDefault="006178A5" w:rsidP="00985807">
            <w:pPr>
              <w:rPr>
                <w:sz w:val="22"/>
              </w:rPr>
            </w:pPr>
            <w:r>
              <w:rPr>
                <w:sz w:val="22"/>
              </w:rPr>
              <w:t>La séquence d’un fragment de cette enzyme est donné</w:t>
            </w:r>
            <w:r w:rsidR="004B20B4">
              <w:rPr>
                <w:sz w:val="22"/>
              </w:rPr>
              <w:t>e</w:t>
            </w:r>
            <w:r>
              <w:rPr>
                <w:sz w:val="22"/>
              </w:rPr>
              <w:t> :</w:t>
            </w:r>
            <w:r w:rsidR="00D51FCA">
              <w:rPr>
                <w:sz w:val="22"/>
              </w:rPr>
              <w:t xml:space="preserve"> </w:t>
            </w:r>
            <w:r w:rsidR="00D51FCA" w:rsidRPr="004B20B4">
              <w:rPr>
                <w:b/>
                <w:sz w:val="22"/>
              </w:rPr>
              <w:t>DMIQVHGDRMCGSFC</w:t>
            </w:r>
          </w:p>
          <w:p w14:paraId="164348BD" w14:textId="77777777" w:rsidR="00E341B7" w:rsidRDefault="00D51FCA" w:rsidP="002E73B9">
            <w:pPr>
              <w:rPr>
                <w:sz w:val="22"/>
              </w:rPr>
            </w:pPr>
            <w:r>
              <w:rPr>
                <w:sz w:val="22"/>
              </w:rPr>
              <w:t>Il peut être ouvert et visualisé avec G</w:t>
            </w:r>
            <w:r w:rsidR="00F17769">
              <w:rPr>
                <w:sz w:val="22"/>
              </w:rPr>
              <w:t>e</w:t>
            </w:r>
            <w:r>
              <w:rPr>
                <w:sz w:val="22"/>
              </w:rPr>
              <w:t>niegen2 :</w:t>
            </w:r>
          </w:p>
          <w:p w14:paraId="2E4A2BF7" w14:textId="77777777" w:rsidR="00D51FCA" w:rsidRDefault="00340D4D" w:rsidP="00340D4D">
            <w:pPr>
              <w:jc w:val="center"/>
              <w:rPr>
                <w:sz w:val="22"/>
              </w:rPr>
            </w:pPr>
            <w:r>
              <w:rPr>
                <w:noProof/>
                <w:sz w:val="22"/>
              </w:rPr>
              <w:drawing>
                <wp:inline distT="0" distB="0" distL="0" distR="0" wp14:anchorId="22594B51" wp14:editId="56AB3A04">
                  <wp:extent cx="5607170" cy="2045208"/>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ragment_bilr_geniegen2.PNG"/>
                          <pic:cNvPicPr/>
                        </pic:nvPicPr>
                        <pic:blipFill>
                          <a:blip r:embed="rId10">
                            <a:extLst>
                              <a:ext uri="{28A0092B-C50C-407E-A947-70E740481C1C}">
                                <a14:useLocalDpi xmlns:a14="http://schemas.microsoft.com/office/drawing/2010/main" val="0"/>
                              </a:ext>
                            </a:extLst>
                          </a:blip>
                          <a:stretch>
                            <a:fillRect/>
                          </a:stretch>
                        </pic:blipFill>
                        <pic:spPr>
                          <a:xfrm>
                            <a:off x="0" y="0"/>
                            <a:ext cx="5631568" cy="2054107"/>
                          </a:xfrm>
                          <a:prstGeom prst="rect">
                            <a:avLst/>
                          </a:prstGeom>
                        </pic:spPr>
                      </pic:pic>
                    </a:graphicData>
                  </a:graphic>
                </wp:inline>
              </w:drawing>
            </w:r>
          </w:p>
          <w:p w14:paraId="6E856A22" w14:textId="77777777" w:rsidR="00926A76" w:rsidRDefault="00926A76" w:rsidP="002E73B9">
            <w:pPr>
              <w:rPr>
                <w:sz w:val="22"/>
              </w:rPr>
            </w:pPr>
          </w:p>
        </w:tc>
      </w:tr>
    </w:tbl>
    <w:p w14:paraId="7CDF6466" w14:textId="77777777" w:rsidR="00E341B7" w:rsidRDefault="00E341B7" w:rsidP="00985807">
      <w:pPr>
        <w:rPr>
          <w:sz w:val="22"/>
        </w:rPr>
      </w:pPr>
    </w:p>
    <w:tbl>
      <w:tblPr>
        <w:tblStyle w:val="Grilledutableau"/>
        <w:tblW w:w="0" w:type="auto"/>
        <w:tblLook w:val="04A0" w:firstRow="1" w:lastRow="0" w:firstColumn="1" w:lastColumn="0" w:noHBand="0" w:noVBand="1"/>
      </w:tblPr>
      <w:tblGrid>
        <w:gridCol w:w="9062"/>
      </w:tblGrid>
      <w:tr w:rsidR="00AD264B" w14:paraId="65869ABF" w14:textId="77777777" w:rsidTr="00AD264B">
        <w:tc>
          <w:tcPr>
            <w:tcW w:w="9062" w:type="dxa"/>
          </w:tcPr>
          <w:p w14:paraId="211BA893" w14:textId="77777777" w:rsidR="00AD264B" w:rsidRDefault="00AD264B" w:rsidP="00AD264B">
            <w:pPr>
              <w:rPr>
                <w:sz w:val="22"/>
              </w:rPr>
            </w:pPr>
          </w:p>
          <w:p w14:paraId="3D1ECB45" w14:textId="77777777" w:rsidR="00AD264B" w:rsidRPr="009D5D93" w:rsidRDefault="00AD264B" w:rsidP="00AD264B">
            <w:pPr>
              <w:autoSpaceDE w:val="0"/>
              <w:autoSpaceDN w:val="0"/>
              <w:adjustRightInd w:val="0"/>
              <w:rPr>
                <w:sz w:val="22"/>
                <w:szCs w:val="22"/>
              </w:rPr>
            </w:pPr>
            <w:r w:rsidRPr="00A77F9F">
              <w:rPr>
                <w:b/>
                <w:sz w:val="22"/>
                <w:szCs w:val="22"/>
              </w:rPr>
              <w:t>Document</w:t>
            </w:r>
            <w:r w:rsidRPr="00A77F9F">
              <w:rPr>
                <w:sz w:val="22"/>
                <w:szCs w:val="22"/>
              </w:rPr>
              <w:t xml:space="preserve"> </w:t>
            </w:r>
            <w:r>
              <w:rPr>
                <w:b/>
                <w:sz w:val="22"/>
                <w:szCs w:val="22"/>
              </w:rPr>
              <w:t>3</w:t>
            </w:r>
            <w:r w:rsidRPr="00A77F9F">
              <w:rPr>
                <w:b/>
                <w:sz w:val="22"/>
                <w:szCs w:val="22"/>
              </w:rPr>
              <w:t xml:space="preserve"> </w:t>
            </w:r>
            <w:r w:rsidRPr="00A77F9F">
              <w:rPr>
                <w:sz w:val="22"/>
                <w:szCs w:val="22"/>
              </w:rPr>
              <w:t>:</w:t>
            </w:r>
            <w:r>
              <w:rPr>
                <w:sz w:val="22"/>
                <w:szCs w:val="22"/>
              </w:rPr>
              <w:t xml:space="preserve"> Aide à l’utilisation de BLAST </w:t>
            </w:r>
          </w:p>
          <w:p w14:paraId="6168F4ED" w14:textId="77777777" w:rsidR="00AD264B" w:rsidRDefault="00AD264B" w:rsidP="00AD264B">
            <w:pPr>
              <w:rPr>
                <w:sz w:val="22"/>
              </w:rPr>
            </w:pPr>
          </w:p>
          <w:p w14:paraId="1289004B" w14:textId="77777777" w:rsidR="00AD264B" w:rsidRDefault="00D707E4" w:rsidP="00AD264B">
            <w:pPr>
              <w:rPr>
                <w:sz w:val="22"/>
              </w:rPr>
            </w:pPr>
            <w:hyperlink r:id="rId11" w:history="1">
              <w:r w:rsidR="00AD264B" w:rsidRPr="005F4983">
                <w:rPr>
                  <w:rStyle w:val="Lienhypertexte"/>
                  <w:sz w:val="22"/>
                </w:rPr>
                <w:t>BLAST</w:t>
              </w:r>
            </w:hyperlink>
            <w:r w:rsidR="00AD264B" w:rsidRPr="001A0A3D">
              <w:rPr>
                <w:sz w:val="22"/>
              </w:rPr>
              <w:t xml:space="preserve"> (pour Basic Local </w:t>
            </w:r>
            <w:proofErr w:type="spellStart"/>
            <w:r w:rsidR="00AD264B" w:rsidRPr="001A0A3D">
              <w:rPr>
                <w:sz w:val="22"/>
              </w:rPr>
              <w:t>Alignment</w:t>
            </w:r>
            <w:proofErr w:type="spellEnd"/>
            <w:r w:rsidR="00AD264B" w:rsidRPr="001A0A3D">
              <w:rPr>
                <w:sz w:val="22"/>
              </w:rPr>
              <w:t xml:space="preserve"> </w:t>
            </w:r>
            <w:proofErr w:type="spellStart"/>
            <w:r w:rsidR="00AD264B" w:rsidRPr="001A0A3D">
              <w:rPr>
                <w:sz w:val="22"/>
              </w:rPr>
              <w:t>Search</w:t>
            </w:r>
            <w:proofErr w:type="spellEnd"/>
            <w:r w:rsidR="00AD264B" w:rsidRPr="001A0A3D">
              <w:rPr>
                <w:sz w:val="22"/>
              </w:rPr>
              <w:t xml:space="preserve"> Tools) est un outil accessible en ligne, utilisé en </w:t>
            </w:r>
            <w:proofErr w:type="spellStart"/>
            <w:r w:rsidR="00AD264B" w:rsidRPr="001A0A3D">
              <w:rPr>
                <w:sz w:val="22"/>
              </w:rPr>
              <w:t>bioinformatique</w:t>
            </w:r>
            <w:proofErr w:type="spellEnd"/>
            <w:r w:rsidR="00AD264B" w:rsidRPr="001A0A3D">
              <w:rPr>
                <w:sz w:val="22"/>
              </w:rPr>
              <w:t xml:space="preserve"> pour rechercher des régions similaires entre deux ou plusieurs séquences nucléotidiques ou protéiques.</w:t>
            </w:r>
            <w:r w:rsidR="00D777CD">
              <w:rPr>
                <w:sz w:val="22"/>
              </w:rPr>
              <w:t xml:space="preserve"> Il permet d’identifier la présence de gènes semblables chez différentes espèces.</w:t>
            </w:r>
          </w:p>
          <w:p w14:paraId="2CDCE8B5" w14:textId="77777777" w:rsidR="00AD264B" w:rsidRDefault="00AD264B" w:rsidP="00AD264B">
            <w:pPr>
              <w:rPr>
                <w:sz w:val="22"/>
              </w:rPr>
            </w:pPr>
          </w:p>
          <w:p w14:paraId="31D828B8" w14:textId="77777777" w:rsidR="00AD264B" w:rsidRDefault="00AD264B" w:rsidP="00AD264B">
            <w:pPr>
              <w:rPr>
                <w:sz w:val="22"/>
              </w:rPr>
            </w:pPr>
            <w:r w:rsidRPr="005F4983">
              <w:rPr>
                <w:b/>
                <w:sz w:val="22"/>
              </w:rPr>
              <w:t>Deux possibilités pour utiliser BLAST</w:t>
            </w:r>
            <w:r>
              <w:rPr>
                <w:sz w:val="22"/>
              </w:rPr>
              <w:t> :</w:t>
            </w:r>
          </w:p>
          <w:p w14:paraId="4C9EE0D4" w14:textId="77777777" w:rsidR="00AD264B" w:rsidRDefault="00AD264B" w:rsidP="00AD264B">
            <w:pPr>
              <w:pStyle w:val="Paragraphedeliste"/>
              <w:numPr>
                <w:ilvl w:val="0"/>
                <w:numId w:val="28"/>
              </w:numPr>
              <w:rPr>
                <w:sz w:val="22"/>
              </w:rPr>
            </w:pPr>
            <w:r>
              <w:rPr>
                <w:sz w:val="22"/>
              </w:rPr>
              <w:t xml:space="preserve">Appui sur la fiche technique </w:t>
            </w:r>
            <w:r w:rsidRPr="00F17769">
              <w:rPr>
                <w:b/>
                <w:sz w:val="22"/>
              </w:rPr>
              <w:t>FT_BLAST.pdf</w:t>
            </w:r>
          </w:p>
          <w:p w14:paraId="0623F185" w14:textId="77777777" w:rsidR="00AD264B" w:rsidRPr="005F4983" w:rsidRDefault="00AD264B" w:rsidP="00AD264B">
            <w:pPr>
              <w:pStyle w:val="Paragraphedeliste"/>
              <w:numPr>
                <w:ilvl w:val="0"/>
                <w:numId w:val="28"/>
              </w:numPr>
              <w:rPr>
                <w:sz w:val="22"/>
              </w:rPr>
            </w:pPr>
            <w:r w:rsidRPr="005F4983">
              <w:rPr>
                <w:sz w:val="22"/>
              </w:rPr>
              <w:t xml:space="preserve">Directement depuis </w:t>
            </w:r>
            <w:hyperlink r:id="rId12" w:history="1">
              <w:r w:rsidRPr="005F4983">
                <w:rPr>
                  <w:rStyle w:val="Lienhypertexte"/>
                  <w:sz w:val="22"/>
                </w:rPr>
                <w:t>Geniegen2</w:t>
              </w:r>
            </w:hyperlink>
            <w:r>
              <w:rPr>
                <w:sz w:val="22"/>
              </w:rPr>
              <w:t>, à partir d’une séquence préalablement chargée dans le logiciel.</w:t>
            </w:r>
          </w:p>
          <w:p w14:paraId="2BF54041" w14:textId="77777777" w:rsidR="00AD264B" w:rsidRDefault="00AD264B" w:rsidP="00AD264B">
            <w:pPr>
              <w:jc w:val="center"/>
              <w:rPr>
                <w:sz w:val="22"/>
              </w:rPr>
            </w:pPr>
            <w:r>
              <w:rPr>
                <w:noProof/>
                <w:sz w:val="22"/>
              </w:rPr>
              <w:lastRenderedPageBreak/>
              <w:drawing>
                <wp:inline distT="0" distB="0" distL="0" distR="0" wp14:anchorId="01DD9242" wp14:editId="2C40A98C">
                  <wp:extent cx="3477247" cy="3347449"/>
                  <wp:effectExtent l="0" t="0" r="9525" b="571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eniegen2_blast.PNG"/>
                          <pic:cNvPicPr/>
                        </pic:nvPicPr>
                        <pic:blipFill>
                          <a:blip r:embed="rId13">
                            <a:extLst>
                              <a:ext uri="{28A0092B-C50C-407E-A947-70E740481C1C}">
                                <a14:useLocalDpi xmlns:a14="http://schemas.microsoft.com/office/drawing/2010/main" val="0"/>
                              </a:ext>
                            </a:extLst>
                          </a:blip>
                          <a:stretch>
                            <a:fillRect/>
                          </a:stretch>
                        </pic:blipFill>
                        <pic:spPr>
                          <a:xfrm>
                            <a:off x="0" y="0"/>
                            <a:ext cx="3483387" cy="3353360"/>
                          </a:xfrm>
                          <a:prstGeom prst="rect">
                            <a:avLst/>
                          </a:prstGeom>
                        </pic:spPr>
                      </pic:pic>
                    </a:graphicData>
                  </a:graphic>
                </wp:inline>
              </w:drawing>
            </w:r>
          </w:p>
          <w:p w14:paraId="7AAEB548" w14:textId="77777777" w:rsidR="00AD264B" w:rsidRDefault="00AD264B" w:rsidP="00AD264B">
            <w:pPr>
              <w:rPr>
                <w:sz w:val="22"/>
              </w:rPr>
            </w:pPr>
          </w:p>
          <w:p w14:paraId="1B6D89CA" w14:textId="77777777" w:rsidR="00AD264B" w:rsidRDefault="00AD264B" w:rsidP="00AD264B">
            <w:pPr>
              <w:rPr>
                <w:sz w:val="22"/>
              </w:rPr>
            </w:pPr>
            <w:r w:rsidRPr="005F4983">
              <w:rPr>
                <w:b/>
                <w:sz w:val="22"/>
              </w:rPr>
              <w:t>Paramétrage d</w:t>
            </w:r>
            <w:r>
              <w:rPr>
                <w:b/>
                <w:sz w:val="22"/>
              </w:rPr>
              <w:t xml:space="preserve">e l’outil BLAST </w:t>
            </w:r>
            <w:r w:rsidRPr="005F4983">
              <w:rPr>
                <w:b/>
                <w:sz w:val="22"/>
              </w:rPr>
              <w:t>dans le cadre de cette étude</w:t>
            </w:r>
            <w:r>
              <w:rPr>
                <w:sz w:val="22"/>
              </w:rPr>
              <w:t> :</w:t>
            </w:r>
          </w:p>
          <w:p w14:paraId="544BBCF5" w14:textId="77777777" w:rsidR="00AD264B" w:rsidRDefault="00AD264B" w:rsidP="00AD264B">
            <w:pPr>
              <w:rPr>
                <w:sz w:val="22"/>
              </w:rPr>
            </w:pPr>
            <w:r w:rsidRPr="005F4983">
              <w:rPr>
                <w:sz w:val="22"/>
              </w:rPr>
              <w:t xml:space="preserve">Pour augmenter la pertinence des résultats obtenus, </w:t>
            </w:r>
            <w:r>
              <w:rPr>
                <w:sz w:val="22"/>
              </w:rPr>
              <w:t xml:space="preserve">il est utile de </w:t>
            </w:r>
            <w:r w:rsidRPr="005F4983">
              <w:rPr>
                <w:sz w:val="22"/>
              </w:rPr>
              <w:t>restreindre la recherche à la base de données des protéines de référence</w:t>
            </w:r>
            <w:r>
              <w:rPr>
                <w:sz w:val="22"/>
              </w:rPr>
              <w:t xml:space="preserve"> (</w:t>
            </w:r>
            <w:r w:rsidRPr="00EC6AED">
              <w:rPr>
                <w:i/>
                <w:sz w:val="22"/>
              </w:rPr>
              <w:t>Ref</w:t>
            </w:r>
            <w:r>
              <w:rPr>
                <w:i/>
                <w:sz w:val="22"/>
              </w:rPr>
              <w:t xml:space="preserve">erence </w:t>
            </w:r>
            <w:proofErr w:type="spellStart"/>
            <w:r w:rsidRPr="00EC6AED">
              <w:rPr>
                <w:i/>
                <w:sz w:val="22"/>
              </w:rPr>
              <w:t>proteins</w:t>
            </w:r>
            <w:proofErr w:type="spellEnd"/>
            <w:r>
              <w:rPr>
                <w:sz w:val="22"/>
              </w:rPr>
              <w:t>) :</w:t>
            </w:r>
          </w:p>
          <w:p w14:paraId="789CF424" w14:textId="77777777" w:rsidR="00AD264B" w:rsidRDefault="00AD264B" w:rsidP="00AD264B">
            <w:pPr>
              <w:rPr>
                <w:sz w:val="22"/>
              </w:rPr>
            </w:pPr>
          </w:p>
          <w:p w14:paraId="384F13EC" w14:textId="77777777" w:rsidR="00AD264B" w:rsidRPr="005F4983" w:rsidRDefault="00AD264B" w:rsidP="00AD264B">
            <w:pPr>
              <w:jc w:val="center"/>
              <w:rPr>
                <w:sz w:val="22"/>
              </w:rPr>
            </w:pPr>
            <w:r>
              <w:rPr>
                <w:noProof/>
                <w:sz w:val="22"/>
              </w:rPr>
              <w:drawing>
                <wp:inline distT="0" distB="0" distL="0" distR="0" wp14:anchorId="47B522D9" wp14:editId="0B06B826">
                  <wp:extent cx="5464533" cy="1432392"/>
                  <wp:effectExtent l="0" t="0" r="3175"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last_choix_database.PNG"/>
                          <pic:cNvPicPr/>
                        </pic:nvPicPr>
                        <pic:blipFill>
                          <a:blip r:embed="rId14">
                            <a:extLst>
                              <a:ext uri="{28A0092B-C50C-407E-A947-70E740481C1C}">
                                <a14:useLocalDpi xmlns:a14="http://schemas.microsoft.com/office/drawing/2010/main" val="0"/>
                              </a:ext>
                            </a:extLst>
                          </a:blip>
                          <a:stretch>
                            <a:fillRect/>
                          </a:stretch>
                        </pic:blipFill>
                        <pic:spPr>
                          <a:xfrm>
                            <a:off x="0" y="0"/>
                            <a:ext cx="5474505" cy="1435006"/>
                          </a:xfrm>
                          <a:prstGeom prst="rect">
                            <a:avLst/>
                          </a:prstGeom>
                        </pic:spPr>
                      </pic:pic>
                    </a:graphicData>
                  </a:graphic>
                </wp:inline>
              </w:drawing>
            </w:r>
          </w:p>
          <w:p w14:paraId="4CBC0E8A" w14:textId="77777777" w:rsidR="00AD264B" w:rsidRDefault="00AD264B" w:rsidP="00AD264B">
            <w:pPr>
              <w:rPr>
                <w:sz w:val="22"/>
              </w:rPr>
            </w:pPr>
          </w:p>
        </w:tc>
      </w:tr>
    </w:tbl>
    <w:p w14:paraId="77EB90B0" w14:textId="77777777" w:rsidR="00AD264B" w:rsidRDefault="00AD264B" w:rsidP="00985807">
      <w:pPr>
        <w:rPr>
          <w:sz w:val="22"/>
        </w:rPr>
      </w:pPr>
    </w:p>
    <w:tbl>
      <w:tblPr>
        <w:tblStyle w:val="Grilledutableau"/>
        <w:tblW w:w="0" w:type="auto"/>
        <w:tblLook w:val="04A0" w:firstRow="1" w:lastRow="0" w:firstColumn="1" w:lastColumn="0" w:noHBand="0" w:noVBand="1"/>
      </w:tblPr>
      <w:tblGrid>
        <w:gridCol w:w="9062"/>
      </w:tblGrid>
      <w:tr w:rsidR="00AA0BD5" w14:paraId="57C8EF6C" w14:textId="77777777" w:rsidTr="00AD264B">
        <w:trPr>
          <w:trHeight w:val="3559"/>
        </w:trPr>
        <w:tc>
          <w:tcPr>
            <w:tcW w:w="9062" w:type="dxa"/>
          </w:tcPr>
          <w:p w14:paraId="231AA115" w14:textId="77777777" w:rsidR="009D5D93" w:rsidRDefault="009D5D93" w:rsidP="00AA0BD5">
            <w:pPr>
              <w:rPr>
                <w:b/>
                <w:sz w:val="22"/>
              </w:rPr>
            </w:pPr>
          </w:p>
          <w:p w14:paraId="4FA260E5" w14:textId="77777777" w:rsidR="00B8656F" w:rsidRDefault="00B8656F" w:rsidP="00B8656F">
            <w:pPr>
              <w:autoSpaceDE w:val="0"/>
              <w:autoSpaceDN w:val="0"/>
              <w:adjustRightInd w:val="0"/>
              <w:rPr>
                <w:rFonts w:cs="Calibri"/>
                <w:sz w:val="22"/>
                <w:szCs w:val="22"/>
              </w:rPr>
            </w:pPr>
            <w:r w:rsidRPr="00A77F9F">
              <w:rPr>
                <w:b/>
                <w:sz w:val="22"/>
                <w:szCs w:val="22"/>
              </w:rPr>
              <w:t>Document</w:t>
            </w:r>
            <w:r w:rsidRPr="00A77F9F">
              <w:rPr>
                <w:sz w:val="22"/>
                <w:szCs w:val="22"/>
              </w:rPr>
              <w:t xml:space="preserve"> </w:t>
            </w:r>
            <w:r w:rsidR="00AD264B">
              <w:rPr>
                <w:b/>
                <w:sz w:val="22"/>
                <w:szCs w:val="22"/>
              </w:rPr>
              <w:t>4</w:t>
            </w:r>
            <w:r w:rsidRPr="00A77F9F">
              <w:rPr>
                <w:b/>
                <w:sz w:val="22"/>
                <w:szCs w:val="22"/>
              </w:rPr>
              <w:t xml:space="preserve"> </w:t>
            </w:r>
            <w:r w:rsidRPr="00A77F9F">
              <w:rPr>
                <w:sz w:val="22"/>
                <w:szCs w:val="22"/>
              </w:rPr>
              <w:t>:</w:t>
            </w:r>
            <w:r>
              <w:rPr>
                <w:sz w:val="22"/>
                <w:szCs w:val="22"/>
              </w:rPr>
              <w:t xml:space="preserve"> </w:t>
            </w:r>
            <w:r w:rsidR="001A0A3D">
              <w:rPr>
                <w:sz w:val="22"/>
                <w:szCs w:val="22"/>
              </w:rPr>
              <w:t xml:space="preserve">Diversité et abondance des bactéries du microbiote humain </w:t>
            </w:r>
            <w:r w:rsidR="001A0A3D" w:rsidRPr="001A0A3D">
              <w:rPr>
                <w:sz w:val="22"/>
                <w:szCs w:val="22"/>
              </w:rPr>
              <w:t>chez des individus en bonne santé</w:t>
            </w:r>
          </w:p>
          <w:p w14:paraId="236C08DC" w14:textId="30DCF0E9" w:rsidR="00B8656F" w:rsidRPr="00AA0BD5" w:rsidRDefault="00B8656F" w:rsidP="00B8656F">
            <w:pPr>
              <w:rPr>
                <w:sz w:val="20"/>
              </w:rPr>
            </w:pPr>
            <w:proofErr w:type="gramStart"/>
            <w:r w:rsidRPr="001A0A3D">
              <w:rPr>
                <w:sz w:val="20"/>
                <w:lang w:val="en-US"/>
              </w:rPr>
              <w:t>Source</w:t>
            </w:r>
            <w:r w:rsidR="00824DEE">
              <w:rPr>
                <w:sz w:val="20"/>
                <w:lang w:val="en-US"/>
              </w:rPr>
              <w:t xml:space="preserve"> :</w:t>
            </w:r>
            <w:proofErr w:type="gramEnd"/>
            <w:r w:rsidRPr="001A0A3D">
              <w:rPr>
                <w:sz w:val="20"/>
                <w:lang w:val="en-US"/>
              </w:rPr>
              <w:t xml:space="preserve"> </w:t>
            </w:r>
            <w:proofErr w:type="spellStart"/>
            <w:r w:rsidR="000A4DD1" w:rsidRPr="001A0A3D">
              <w:rPr>
                <w:sz w:val="20"/>
                <w:lang w:val="en-US"/>
              </w:rPr>
              <w:t>adapté</w:t>
            </w:r>
            <w:proofErr w:type="spellEnd"/>
            <w:r w:rsidR="000A4DD1" w:rsidRPr="001A0A3D">
              <w:rPr>
                <w:sz w:val="20"/>
                <w:lang w:val="en-US"/>
              </w:rPr>
              <w:t xml:space="preserve"> de </w:t>
            </w:r>
            <w:hyperlink r:id="rId15" w:history="1">
              <w:proofErr w:type="spellStart"/>
              <w:r w:rsidR="001A0A3D" w:rsidRPr="001A0A3D">
                <w:rPr>
                  <w:rStyle w:val="Lienhypertexte"/>
                  <w:sz w:val="20"/>
                  <w:lang w:val="en-US"/>
                </w:rPr>
                <w:t>Dethlefsen</w:t>
              </w:r>
              <w:proofErr w:type="spellEnd"/>
              <w:r w:rsidR="001A0A3D" w:rsidRPr="001A0A3D">
                <w:rPr>
                  <w:rStyle w:val="Lienhypertexte"/>
                  <w:sz w:val="20"/>
                  <w:lang w:val="en-US"/>
                </w:rPr>
                <w:t xml:space="preserve">, L., McFall-Ngai, M. &amp; </w:t>
              </w:r>
              <w:proofErr w:type="spellStart"/>
              <w:r w:rsidR="001A0A3D" w:rsidRPr="001A0A3D">
                <w:rPr>
                  <w:rStyle w:val="Lienhypertexte"/>
                  <w:sz w:val="20"/>
                  <w:lang w:val="en-US"/>
                </w:rPr>
                <w:t>Relman</w:t>
              </w:r>
              <w:proofErr w:type="spellEnd"/>
              <w:r w:rsidR="001A0A3D" w:rsidRPr="001A0A3D">
                <w:rPr>
                  <w:rStyle w:val="Lienhypertexte"/>
                  <w:sz w:val="20"/>
                  <w:lang w:val="en-US"/>
                </w:rPr>
                <w:t xml:space="preserve">, D. An ecological and evolutionary perspective on human–microbe mutualism and disease. </w:t>
              </w:r>
              <w:r w:rsidR="001A0A3D" w:rsidRPr="001A0A3D">
                <w:rPr>
                  <w:rStyle w:val="Lienhypertexte"/>
                  <w:sz w:val="20"/>
                </w:rPr>
                <w:t>Nature 449, 811–818 (2007)</w:t>
              </w:r>
            </w:hyperlink>
            <w:r w:rsidR="001A0A3D" w:rsidRPr="001A0A3D">
              <w:rPr>
                <w:sz w:val="20"/>
              </w:rPr>
              <w:t xml:space="preserve">. </w:t>
            </w:r>
          </w:p>
          <w:p w14:paraId="029CA755" w14:textId="77777777" w:rsidR="00B8656F" w:rsidRDefault="00B8656F" w:rsidP="00AA0BD5">
            <w:pPr>
              <w:rPr>
                <w:b/>
                <w:sz w:val="22"/>
              </w:rPr>
            </w:pPr>
          </w:p>
          <w:p w14:paraId="4ECC1F53" w14:textId="77777777" w:rsidR="00AA0BD5" w:rsidRDefault="001A0A3D" w:rsidP="001A0A3D">
            <w:pPr>
              <w:autoSpaceDE w:val="0"/>
              <w:autoSpaceDN w:val="0"/>
              <w:adjustRightInd w:val="0"/>
              <w:rPr>
                <w:sz w:val="22"/>
                <w:szCs w:val="22"/>
              </w:rPr>
            </w:pPr>
            <w:r>
              <w:rPr>
                <w:sz w:val="22"/>
                <w:szCs w:val="22"/>
              </w:rPr>
              <w:t>Le document présente pour chaque partie du corps</w:t>
            </w:r>
            <w:r w:rsidRPr="001A0A3D">
              <w:rPr>
                <w:sz w:val="22"/>
                <w:szCs w:val="22"/>
              </w:rPr>
              <w:t xml:space="preserve"> </w:t>
            </w:r>
            <w:r>
              <w:rPr>
                <w:sz w:val="22"/>
                <w:szCs w:val="22"/>
              </w:rPr>
              <w:t>la répartition entre les différents groupes de bactéries et pour chaque groupe le n</w:t>
            </w:r>
            <w:r w:rsidRPr="001A0A3D">
              <w:rPr>
                <w:sz w:val="22"/>
                <w:szCs w:val="22"/>
              </w:rPr>
              <w:t>ombre moyen d’espèces de bactéries</w:t>
            </w:r>
            <w:r>
              <w:rPr>
                <w:sz w:val="22"/>
                <w:szCs w:val="22"/>
              </w:rPr>
              <w:t>.</w:t>
            </w:r>
          </w:p>
          <w:p w14:paraId="07DA9CE2" w14:textId="77777777" w:rsidR="001A0A3D" w:rsidRDefault="001A0A3D" w:rsidP="001A0A3D">
            <w:pPr>
              <w:autoSpaceDE w:val="0"/>
              <w:autoSpaceDN w:val="0"/>
              <w:adjustRightInd w:val="0"/>
              <w:rPr>
                <w:sz w:val="22"/>
              </w:rPr>
            </w:pPr>
          </w:p>
          <w:p w14:paraId="68C13987" w14:textId="77777777" w:rsidR="001A0A3D" w:rsidRDefault="001A0A3D" w:rsidP="001A0A3D">
            <w:pPr>
              <w:autoSpaceDE w:val="0"/>
              <w:autoSpaceDN w:val="0"/>
              <w:adjustRightInd w:val="0"/>
              <w:jc w:val="center"/>
              <w:rPr>
                <w:sz w:val="22"/>
              </w:rPr>
            </w:pPr>
            <w:r>
              <w:rPr>
                <w:noProof/>
                <w:sz w:val="22"/>
              </w:rPr>
              <w:lastRenderedPageBreak/>
              <w:drawing>
                <wp:inline distT="0" distB="0" distL="0" distR="0" wp14:anchorId="1BD35110" wp14:editId="14D9A2B0">
                  <wp:extent cx="3789228" cy="3481813"/>
                  <wp:effectExtent l="0" t="0" r="1905" b="444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iversite_microbiote.jpg"/>
                          <pic:cNvPicPr/>
                        </pic:nvPicPr>
                        <pic:blipFill>
                          <a:blip r:embed="rId16">
                            <a:extLst>
                              <a:ext uri="{28A0092B-C50C-407E-A947-70E740481C1C}">
                                <a14:useLocalDpi xmlns:a14="http://schemas.microsoft.com/office/drawing/2010/main" val="0"/>
                              </a:ext>
                            </a:extLst>
                          </a:blip>
                          <a:stretch>
                            <a:fillRect/>
                          </a:stretch>
                        </pic:blipFill>
                        <pic:spPr>
                          <a:xfrm>
                            <a:off x="0" y="0"/>
                            <a:ext cx="3791466" cy="3483870"/>
                          </a:xfrm>
                          <a:prstGeom prst="rect">
                            <a:avLst/>
                          </a:prstGeom>
                        </pic:spPr>
                      </pic:pic>
                    </a:graphicData>
                  </a:graphic>
                </wp:inline>
              </w:drawing>
            </w:r>
          </w:p>
        </w:tc>
      </w:tr>
    </w:tbl>
    <w:p w14:paraId="5295D3FB" w14:textId="77777777" w:rsidR="00AD264B" w:rsidRDefault="00AD264B"/>
    <w:p w14:paraId="58F2248A" w14:textId="77777777" w:rsidR="00AA0BD5" w:rsidRDefault="00AA0BD5" w:rsidP="00985807">
      <w:pPr>
        <w:rPr>
          <w:sz w:val="22"/>
        </w:rPr>
      </w:pPr>
    </w:p>
    <w:p w14:paraId="5C70B299" w14:textId="77777777" w:rsidR="00B013DE" w:rsidRDefault="00B013DE" w:rsidP="00B013DE">
      <w:pPr>
        <w:pBdr>
          <w:bottom w:val="single" w:sz="4" w:space="1" w:color="auto"/>
        </w:pBdr>
        <w:shd w:val="clear" w:color="auto" w:fill="8DB3E2" w:themeFill="text2" w:themeFillTint="66"/>
        <w:spacing w:after="120" w:line="240" w:lineRule="auto"/>
        <w:rPr>
          <w:b/>
          <w:sz w:val="22"/>
        </w:rPr>
      </w:pPr>
      <w:r w:rsidRPr="002E480A">
        <w:rPr>
          <w:b/>
          <w:sz w:val="22"/>
        </w:rPr>
        <w:t>Résultats</w:t>
      </w:r>
      <w:r>
        <w:rPr>
          <w:b/>
          <w:sz w:val="22"/>
        </w:rPr>
        <w:t xml:space="preserve"> </w:t>
      </w:r>
      <w:r w:rsidR="00530500">
        <w:rPr>
          <w:b/>
          <w:sz w:val="22"/>
        </w:rPr>
        <w:t>de l’</w:t>
      </w:r>
      <w:r>
        <w:rPr>
          <w:b/>
          <w:sz w:val="22"/>
        </w:rPr>
        <w:t>activité 1</w:t>
      </w:r>
    </w:p>
    <w:p w14:paraId="6A808A12" w14:textId="77777777" w:rsidR="002A1B26" w:rsidRDefault="002A1B26" w:rsidP="00B013DE">
      <w:pPr>
        <w:autoSpaceDE w:val="0"/>
        <w:autoSpaceDN w:val="0"/>
        <w:adjustRightInd w:val="0"/>
        <w:spacing w:line="240" w:lineRule="auto"/>
        <w:rPr>
          <w:b/>
          <w:sz w:val="22"/>
          <w:szCs w:val="22"/>
        </w:rPr>
      </w:pPr>
    </w:p>
    <w:p w14:paraId="148044B2" w14:textId="3968C234" w:rsidR="004B28AC" w:rsidRDefault="00530500" w:rsidP="004B28AC">
      <w:pPr>
        <w:autoSpaceDE w:val="0"/>
        <w:autoSpaceDN w:val="0"/>
        <w:adjustRightInd w:val="0"/>
        <w:spacing w:line="240" w:lineRule="auto"/>
        <w:rPr>
          <w:rFonts w:cs="Calibri"/>
          <w:sz w:val="22"/>
          <w:szCs w:val="22"/>
        </w:rPr>
      </w:pPr>
      <w:r>
        <w:rPr>
          <w:rFonts w:cs="Calibri"/>
          <w:sz w:val="22"/>
          <w:szCs w:val="22"/>
        </w:rPr>
        <w:t xml:space="preserve">La recherche sur BLASTP des organismes possédant le gène </w:t>
      </w:r>
      <w:proofErr w:type="spellStart"/>
      <w:r w:rsidRPr="002A1B26">
        <w:rPr>
          <w:rFonts w:cs="Calibri"/>
          <w:i/>
          <w:sz w:val="22"/>
          <w:szCs w:val="22"/>
        </w:rPr>
        <w:t>bilR</w:t>
      </w:r>
      <w:proofErr w:type="spellEnd"/>
      <w:r>
        <w:rPr>
          <w:rFonts w:cs="Calibri"/>
          <w:sz w:val="22"/>
          <w:szCs w:val="22"/>
        </w:rPr>
        <w:t xml:space="preserve"> à partir d’un fragment de séquence de l’enzyme bilirubine réductase renvoie une liste ne comprenant que des bactéries (Document 5). Au moins 35 espèces différentes sont identifiées. Elles appartiennent toutes au groupe des Firmicutes. </w:t>
      </w:r>
      <w:r w:rsidR="004B28AC">
        <w:rPr>
          <w:rFonts w:cs="Calibri"/>
          <w:sz w:val="22"/>
          <w:szCs w:val="22"/>
        </w:rPr>
        <w:t>C’est ce même groupe de bactéries qui représente environ la moitié de la diversité spécifique du microbiote intestinal (Document 2).</w:t>
      </w:r>
    </w:p>
    <w:p w14:paraId="329F0AF8" w14:textId="59704D45" w:rsidR="00530500" w:rsidRPr="004B28AC" w:rsidRDefault="004B28AC" w:rsidP="004B28AC">
      <w:pPr>
        <w:widowControl w:val="0"/>
        <w:spacing w:afterLines="60" w:after="144" w:line="240" w:lineRule="auto"/>
        <w:rPr>
          <w:rFonts w:cs="Arial"/>
          <w:snapToGrid w:val="0"/>
          <w:sz w:val="22"/>
        </w:rPr>
      </w:pPr>
      <w:r>
        <w:rPr>
          <w:rFonts w:cs="Arial"/>
          <w:snapToGrid w:val="0"/>
          <w:sz w:val="22"/>
        </w:rPr>
        <w:t>On constate en outre qu’aucun gène humain n’est identifié.</w:t>
      </w:r>
    </w:p>
    <w:p w14:paraId="1A748CD6" w14:textId="77777777" w:rsidR="00B013DE" w:rsidRDefault="00B013DE" w:rsidP="002A1B26">
      <w:pPr>
        <w:pBdr>
          <w:top w:val="single" w:sz="4" w:space="1" w:color="auto"/>
          <w:left w:val="single" w:sz="4" w:space="4" w:color="auto"/>
          <w:bottom w:val="single" w:sz="4" w:space="1" w:color="auto"/>
          <w:right w:val="single" w:sz="4" w:space="4" w:color="auto"/>
        </w:pBdr>
        <w:autoSpaceDE w:val="0"/>
        <w:autoSpaceDN w:val="0"/>
        <w:adjustRightInd w:val="0"/>
        <w:spacing w:line="240" w:lineRule="auto"/>
        <w:rPr>
          <w:rFonts w:cs="Calibri"/>
          <w:sz w:val="22"/>
          <w:szCs w:val="22"/>
        </w:rPr>
      </w:pPr>
      <w:r w:rsidRPr="00A77F9F">
        <w:rPr>
          <w:b/>
          <w:sz w:val="22"/>
          <w:szCs w:val="22"/>
        </w:rPr>
        <w:t>Document</w:t>
      </w:r>
      <w:r w:rsidRPr="00A77F9F">
        <w:rPr>
          <w:sz w:val="22"/>
          <w:szCs w:val="22"/>
        </w:rPr>
        <w:t xml:space="preserve"> </w:t>
      </w:r>
      <w:r>
        <w:rPr>
          <w:b/>
          <w:sz w:val="22"/>
          <w:szCs w:val="22"/>
        </w:rPr>
        <w:t>5</w:t>
      </w:r>
      <w:r w:rsidRPr="00A77F9F">
        <w:rPr>
          <w:b/>
          <w:sz w:val="22"/>
          <w:szCs w:val="22"/>
        </w:rPr>
        <w:t xml:space="preserve"> </w:t>
      </w:r>
      <w:r w:rsidRPr="00A77F9F">
        <w:rPr>
          <w:sz w:val="22"/>
          <w:szCs w:val="22"/>
        </w:rPr>
        <w:t>:</w:t>
      </w:r>
      <w:r>
        <w:rPr>
          <w:sz w:val="22"/>
          <w:szCs w:val="22"/>
        </w:rPr>
        <w:t xml:space="preserve"> </w:t>
      </w:r>
      <w:r w:rsidR="00C835B6">
        <w:rPr>
          <w:rFonts w:cs="Calibri"/>
          <w:sz w:val="22"/>
          <w:szCs w:val="22"/>
        </w:rPr>
        <w:t>Résulta</w:t>
      </w:r>
      <w:r w:rsidR="002A1B26">
        <w:rPr>
          <w:rFonts w:cs="Calibri"/>
          <w:sz w:val="22"/>
          <w:szCs w:val="22"/>
        </w:rPr>
        <w:t>t de la recherche des organismes possédant le gène de la bilirubine réductase</w:t>
      </w:r>
      <w:r>
        <w:rPr>
          <w:rFonts w:cs="Calibri"/>
          <w:sz w:val="22"/>
          <w:szCs w:val="22"/>
        </w:rPr>
        <w:t xml:space="preserve"> </w:t>
      </w:r>
    </w:p>
    <w:p w14:paraId="044B9ED3" w14:textId="77777777" w:rsidR="00B013DE" w:rsidRDefault="00B013DE" w:rsidP="002A1B26">
      <w:pPr>
        <w:pBdr>
          <w:top w:val="single" w:sz="4" w:space="1" w:color="auto"/>
          <w:left w:val="single" w:sz="4" w:space="4" w:color="auto"/>
          <w:bottom w:val="single" w:sz="4" w:space="1" w:color="auto"/>
          <w:right w:val="single" w:sz="4" w:space="4" w:color="auto"/>
        </w:pBdr>
        <w:autoSpaceDE w:val="0"/>
        <w:autoSpaceDN w:val="0"/>
        <w:adjustRightInd w:val="0"/>
        <w:spacing w:line="240" w:lineRule="auto"/>
        <w:rPr>
          <w:rFonts w:cs="Calibri"/>
          <w:sz w:val="22"/>
          <w:szCs w:val="22"/>
        </w:rPr>
      </w:pPr>
    </w:p>
    <w:p w14:paraId="23373D58" w14:textId="77777777" w:rsidR="00B013DE" w:rsidRDefault="002A1B26" w:rsidP="002A1B26">
      <w:pPr>
        <w:pBdr>
          <w:top w:val="single" w:sz="4" w:space="1" w:color="auto"/>
          <w:left w:val="single" w:sz="4" w:space="4" w:color="auto"/>
          <w:bottom w:val="single" w:sz="4" w:space="1" w:color="auto"/>
          <w:right w:val="single" w:sz="4" w:space="4" w:color="auto"/>
        </w:pBdr>
        <w:autoSpaceDE w:val="0"/>
        <w:autoSpaceDN w:val="0"/>
        <w:adjustRightInd w:val="0"/>
        <w:spacing w:line="240" w:lineRule="auto"/>
        <w:rPr>
          <w:rFonts w:cs="Calibri"/>
          <w:sz w:val="22"/>
          <w:szCs w:val="22"/>
        </w:rPr>
      </w:pPr>
      <w:r>
        <w:rPr>
          <w:rFonts w:cs="Calibri"/>
          <w:noProof/>
          <w:sz w:val="22"/>
          <w:szCs w:val="22"/>
        </w:rPr>
        <w:drawing>
          <wp:inline distT="0" distB="0" distL="0" distR="0" wp14:anchorId="7C430589" wp14:editId="3238638A">
            <wp:extent cx="5760720" cy="191262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sultatBlastp1.PNG"/>
                    <pic:cNvPicPr/>
                  </pic:nvPicPr>
                  <pic:blipFill>
                    <a:blip r:embed="rId17">
                      <a:extLst>
                        <a:ext uri="{28A0092B-C50C-407E-A947-70E740481C1C}">
                          <a14:useLocalDpi xmlns:a14="http://schemas.microsoft.com/office/drawing/2010/main" val="0"/>
                        </a:ext>
                      </a:extLst>
                    </a:blip>
                    <a:stretch>
                      <a:fillRect/>
                    </a:stretch>
                  </pic:blipFill>
                  <pic:spPr>
                    <a:xfrm>
                      <a:off x="0" y="0"/>
                      <a:ext cx="5760720" cy="1912620"/>
                    </a:xfrm>
                    <a:prstGeom prst="rect">
                      <a:avLst/>
                    </a:prstGeom>
                  </pic:spPr>
                </pic:pic>
              </a:graphicData>
            </a:graphic>
          </wp:inline>
        </w:drawing>
      </w:r>
    </w:p>
    <w:p w14:paraId="19391B35" w14:textId="77777777" w:rsidR="002A1B26" w:rsidRDefault="002A1B26" w:rsidP="002A1B26">
      <w:pPr>
        <w:pBdr>
          <w:top w:val="single" w:sz="4" w:space="1" w:color="auto"/>
          <w:left w:val="single" w:sz="4" w:space="4" w:color="auto"/>
          <w:bottom w:val="single" w:sz="4" w:space="1" w:color="auto"/>
          <w:right w:val="single" w:sz="4" w:space="4" w:color="auto"/>
        </w:pBdr>
        <w:autoSpaceDE w:val="0"/>
        <w:autoSpaceDN w:val="0"/>
        <w:adjustRightInd w:val="0"/>
        <w:spacing w:line="240" w:lineRule="auto"/>
        <w:jc w:val="center"/>
        <w:rPr>
          <w:rFonts w:cs="Calibri"/>
          <w:sz w:val="22"/>
          <w:szCs w:val="22"/>
        </w:rPr>
      </w:pPr>
      <w:r w:rsidRPr="002A1B26">
        <w:rPr>
          <w:rFonts w:cs="Calibri"/>
          <w:sz w:val="22"/>
          <w:szCs w:val="22"/>
          <w:u w:val="single"/>
        </w:rPr>
        <w:t>Résultats du BLAST</w:t>
      </w:r>
      <w:r w:rsidR="0062735F">
        <w:rPr>
          <w:rFonts w:cs="Calibri"/>
          <w:sz w:val="22"/>
          <w:szCs w:val="22"/>
          <w:u w:val="single"/>
        </w:rPr>
        <w:t xml:space="preserve"> (onglet </w:t>
      </w:r>
      <w:r w:rsidR="0062735F" w:rsidRPr="0062735F">
        <w:rPr>
          <w:rFonts w:cs="Calibri"/>
          <w:i/>
          <w:sz w:val="22"/>
          <w:szCs w:val="22"/>
          <w:u w:val="single"/>
        </w:rPr>
        <w:t>Descriptions</w:t>
      </w:r>
      <w:r w:rsidR="0062735F">
        <w:rPr>
          <w:rFonts w:cs="Calibri"/>
          <w:sz w:val="22"/>
          <w:szCs w:val="22"/>
          <w:u w:val="single"/>
        </w:rPr>
        <w:t>)</w:t>
      </w:r>
      <w:r w:rsidRPr="002A1B26">
        <w:rPr>
          <w:rFonts w:cs="Calibri"/>
          <w:sz w:val="22"/>
          <w:szCs w:val="22"/>
          <w:u w:val="single"/>
        </w:rPr>
        <w:t> </w:t>
      </w:r>
      <w:r>
        <w:rPr>
          <w:rFonts w:cs="Calibri"/>
          <w:sz w:val="22"/>
          <w:szCs w:val="22"/>
        </w:rPr>
        <w:t>: 100 séquences de bilirubine réductase d’origine</w:t>
      </w:r>
      <w:r w:rsidR="008F7523">
        <w:rPr>
          <w:rFonts w:cs="Calibri"/>
          <w:sz w:val="22"/>
          <w:szCs w:val="22"/>
        </w:rPr>
        <w:t>s</w:t>
      </w:r>
      <w:r>
        <w:rPr>
          <w:rFonts w:cs="Calibri"/>
          <w:sz w:val="22"/>
          <w:szCs w:val="22"/>
        </w:rPr>
        <w:t xml:space="preserve"> variées</w:t>
      </w:r>
    </w:p>
    <w:p w14:paraId="3ED5899C" w14:textId="77777777" w:rsidR="008F7523" w:rsidRPr="008F7523" w:rsidRDefault="008F7523" w:rsidP="008F7523">
      <w:pPr>
        <w:widowControl w:val="0"/>
        <w:pBdr>
          <w:top w:val="single" w:sz="4" w:space="1" w:color="auto"/>
          <w:left w:val="single" w:sz="4" w:space="4" w:color="auto"/>
          <w:bottom w:val="single" w:sz="4" w:space="1" w:color="auto"/>
          <w:right w:val="single" w:sz="4" w:space="4" w:color="auto"/>
        </w:pBdr>
        <w:spacing w:afterLines="60" w:after="144" w:line="240" w:lineRule="auto"/>
        <w:rPr>
          <w:rFonts w:cs="Arial"/>
          <w:snapToGrid w:val="0"/>
          <w:sz w:val="22"/>
        </w:rPr>
      </w:pPr>
      <w:r>
        <w:rPr>
          <w:rFonts w:cs="Arial"/>
          <w:snapToGrid w:val="0"/>
          <w:sz w:val="22"/>
        </w:rPr>
        <w:t>Quelques e</w:t>
      </w:r>
      <w:r w:rsidR="002A1B26">
        <w:rPr>
          <w:rFonts w:cs="Arial"/>
          <w:snapToGrid w:val="0"/>
          <w:sz w:val="22"/>
        </w:rPr>
        <w:t xml:space="preserve">spèces identifiées : </w:t>
      </w:r>
      <w:r w:rsidRPr="008F7523">
        <w:rPr>
          <w:rFonts w:cs="Arial"/>
          <w:i/>
          <w:snapToGrid w:val="0"/>
          <w:sz w:val="22"/>
        </w:rPr>
        <w:t xml:space="preserve">Clostridium </w:t>
      </w:r>
      <w:proofErr w:type="spellStart"/>
      <w:r w:rsidRPr="008F7523">
        <w:rPr>
          <w:rFonts w:cs="Arial"/>
          <w:i/>
          <w:snapToGrid w:val="0"/>
          <w:sz w:val="22"/>
        </w:rPr>
        <w:t>symbiosum</w:t>
      </w:r>
      <w:proofErr w:type="spellEnd"/>
      <w:r w:rsidRPr="008F7523">
        <w:rPr>
          <w:rFonts w:cs="Arial"/>
          <w:i/>
          <w:snapToGrid w:val="0"/>
          <w:sz w:val="22"/>
        </w:rPr>
        <w:t xml:space="preserve">, </w:t>
      </w:r>
      <w:proofErr w:type="spellStart"/>
      <w:r w:rsidRPr="008F7523">
        <w:rPr>
          <w:rFonts w:cs="Arial"/>
          <w:i/>
          <w:snapToGrid w:val="0"/>
          <w:sz w:val="22"/>
        </w:rPr>
        <w:t>Hungatella</w:t>
      </w:r>
      <w:proofErr w:type="spellEnd"/>
      <w:r w:rsidRPr="008F7523">
        <w:rPr>
          <w:rFonts w:cs="Arial"/>
          <w:i/>
          <w:snapToGrid w:val="0"/>
          <w:sz w:val="22"/>
        </w:rPr>
        <w:t xml:space="preserve"> </w:t>
      </w:r>
      <w:proofErr w:type="spellStart"/>
      <w:r w:rsidRPr="008F7523">
        <w:rPr>
          <w:rFonts w:cs="Arial"/>
          <w:i/>
          <w:snapToGrid w:val="0"/>
          <w:sz w:val="22"/>
        </w:rPr>
        <w:t>hathewayi</w:t>
      </w:r>
      <w:proofErr w:type="spellEnd"/>
      <w:r w:rsidRPr="008F7523">
        <w:rPr>
          <w:rFonts w:cs="Arial"/>
          <w:i/>
          <w:snapToGrid w:val="0"/>
          <w:sz w:val="22"/>
        </w:rPr>
        <w:t xml:space="preserve">, </w:t>
      </w:r>
      <w:proofErr w:type="spellStart"/>
      <w:r w:rsidRPr="008F7523">
        <w:rPr>
          <w:rFonts w:cs="Arial"/>
          <w:i/>
          <w:snapToGrid w:val="0"/>
          <w:sz w:val="22"/>
        </w:rPr>
        <w:t>Eisenbergiella</w:t>
      </w:r>
      <w:proofErr w:type="spellEnd"/>
      <w:r w:rsidRPr="008F7523">
        <w:rPr>
          <w:rFonts w:cs="Arial"/>
          <w:i/>
          <w:snapToGrid w:val="0"/>
          <w:sz w:val="22"/>
        </w:rPr>
        <w:t xml:space="preserve"> </w:t>
      </w:r>
      <w:proofErr w:type="spellStart"/>
      <w:r w:rsidRPr="008F7523">
        <w:rPr>
          <w:rFonts w:cs="Arial"/>
          <w:i/>
          <w:snapToGrid w:val="0"/>
          <w:sz w:val="22"/>
        </w:rPr>
        <w:t>tayi</w:t>
      </w:r>
      <w:proofErr w:type="spellEnd"/>
      <w:r w:rsidRPr="008F7523">
        <w:rPr>
          <w:rFonts w:cs="Arial"/>
          <w:i/>
          <w:snapToGrid w:val="0"/>
          <w:sz w:val="22"/>
        </w:rPr>
        <w:t xml:space="preserve">, </w:t>
      </w:r>
      <w:proofErr w:type="spellStart"/>
      <w:r w:rsidRPr="008F7523">
        <w:rPr>
          <w:rFonts w:cs="Arial"/>
          <w:i/>
          <w:snapToGrid w:val="0"/>
          <w:sz w:val="22"/>
        </w:rPr>
        <w:t>Roseburia</w:t>
      </w:r>
      <w:proofErr w:type="spellEnd"/>
      <w:r w:rsidRPr="008F7523">
        <w:rPr>
          <w:rFonts w:cs="Arial"/>
          <w:i/>
          <w:snapToGrid w:val="0"/>
          <w:sz w:val="22"/>
        </w:rPr>
        <w:t xml:space="preserve"> </w:t>
      </w:r>
      <w:proofErr w:type="spellStart"/>
      <w:r w:rsidRPr="008F7523">
        <w:rPr>
          <w:rFonts w:cs="Arial"/>
          <w:i/>
          <w:snapToGrid w:val="0"/>
          <w:sz w:val="22"/>
        </w:rPr>
        <w:t>inulinivorans</w:t>
      </w:r>
      <w:proofErr w:type="spellEnd"/>
      <w:r w:rsidRPr="008F7523">
        <w:rPr>
          <w:rFonts w:cs="Arial"/>
          <w:i/>
          <w:snapToGrid w:val="0"/>
          <w:sz w:val="22"/>
        </w:rPr>
        <w:t>,</w:t>
      </w:r>
      <w:r>
        <w:rPr>
          <w:rFonts w:cs="Arial"/>
          <w:i/>
          <w:snapToGrid w:val="0"/>
          <w:sz w:val="22"/>
        </w:rPr>
        <w:t xml:space="preserve"> </w:t>
      </w:r>
      <w:proofErr w:type="spellStart"/>
      <w:r w:rsidRPr="008F7523">
        <w:rPr>
          <w:rFonts w:cs="Arial"/>
          <w:i/>
          <w:snapToGrid w:val="0"/>
          <w:sz w:val="22"/>
        </w:rPr>
        <w:t>Marvinbryantia</w:t>
      </w:r>
      <w:proofErr w:type="spellEnd"/>
      <w:r w:rsidRPr="008F7523">
        <w:rPr>
          <w:rFonts w:cs="Arial"/>
          <w:i/>
          <w:snapToGrid w:val="0"/>
          <w:sz w:val="22"/>
        </w:rPr>
        <w:t xml:space="preserve"> </w:t>
      </w:r>
      <w:proofErr w:type="spellStart"/>
      <w:r w:rsidRPr="008F7523">
        <w:rPr>
          <w:rFonts w:cs="Arial"/>
          <w:i/>
          <w:snapToGrid w:val="0"/>
          <w:sz w:val="22"/>
        </w:rPr>
        <w:t>formatexigens</w:t>
      </w:r>
      <w:proofErr w:type="spellEnd"/>
      <w:r w:rsidRPr="008F7523">
        <w:rPr>
          <w:rFonts w:cs="Arial"/>
          <w:i/>
          <w:snapToGrid w:val="0"/>
          <w:sz w:val="22"/>
        </w:rPr>
        <w:t>,</w:t>
      </w:r>
      <w:r>
        <w:rPr>
          <w:rFonts w:cs="Arial"/>
          <w:i/>
          <w:snapToGrid w:val="0"/>
          <w:sz w:val="22"/>
        </w:rPr>
        <w:t xml:space="preserve"> </w:t>
      </w:r>
      <w:proofErr w:type="spellStart"/>
      <w:r w:rsidRPr="008F7523">
        <w:rPr>
          <w:rFonts w:cs="Arial"/>
          <w:i/>
          <w:snapToGrid w:val="0"/>
          <w:sz w:val="22"/>
        </w:rPr>
        <w:t>Butyricicoccus</w:t>
      </w:r>
      <w:proofErr w:type="spellEnd"/>
      <w:r w:rsidRPr="008F7523">
        <w:rPr>
          <w:rFonts w:cs="Arial"/>
          <w:i/>
          <w:snapToGrid w:val="0"/>
          <w:sz w:val="22"/>
        </w:rPr>
        <w:t xml:space="preserve"> </w:t>
      </w:r>
      <w:proofErr w:type="spellStart"/>
      <w:r w:rsidRPr="008F7523">
        <w:rPr>
          <w:rFonts w:cs="Arial"/>
          <w:i/>
          <w:snapToGrid w:val="0"/>
          <w:sz w:val="22"/>
        </w:rPr>
        <w:t>pullicaecorum</w:t>
      </w:r>
      <w:proofErr w:type="spellEnd"/>
      <w:r w:rsidRPr="008F7523">
        <w:rPr>
          <w:rFonts w:cs="Arial"/>
          <w:i/>
          <w:snapToGrid w:val="0"/>
          <w:sz w:val="22"/>
        </w:rPr>
        <w:t>,</w:t>
      </w:r>
      <w:r>
        <w:rPr>
          <w:rFonts w:cs="Arial"/>
          <w:i/>
          <w:snapToGrid w:val="0"/>
          <w:sz w:val="22"/>
        </w:rPr>
        <w:t xml:space="preserve"> </w:t>
      </w:r>
      <w:r w:rsidRPr="008F7523">
        <w:rPr>
          <w:rFonts w:cs="Arial"/>
          <w:i/>
          <w:snapToGrid w:val="0"/>
          <w:sz w:val="22"/>
        </w:rPr>
        <w:t xml:space="preserve">Clostridium </w:t>
      </w:r>
      <w:proofErr w:type="spellStart"/>
      <w:r w:rsidRPr="008F7523">
        <w:rPr>
          <w:rFonts w:cs="Arial"/>
          <w:i/>
          <w:snapToGrid w:val="0"/>
          <w:sz w:val="22"/>
        </w:rPr>
        <w:t>transplantifaecale</w:t>
      </w:r>
      <w:proofErr w:type="spellEnd"/>
      <w:r w:rsidRPr="008F7523">
        <w:rPr>
          <w:rFonts w:cs="Arial"/>
          <w:i/>
          <w:snapToGrid w:val="0"/>
          <w:sz w:val="22"/>
        </w:rPr>
        <w:t>,</w:t>
      </w:r>
      <w:r>
        <w:rPr>
          <w:rFonts w:cs="Arial"/>
          <w:i/>
          <w:snapToGrid w:val="0"/>
          <w:sz w:val="22"/>
        </w:rPr>
        <w:t xml:space="preserve"> </w:t>
      </w:r>
      <w:proofErr w:type="spellStart"/>
      <w:r w:rsidRPr="008F7523">
        <w:rPr>
          <w:rFonts w:cs="Arial"/>
          <w:i/>
          <w:snapToGrid w:val="0"/>
          <w:sz w:val="22"/>
        </w:rPr>
        <w:t>Peptacetobacter</w:t>
      </w:r>
      <w:proofErr w:type="spellEnd"/>
      <w:r w:rsidRPr="008F7523">
        <w:rPr>
          <w:rFonts w:cs="Arial"/>
          <w:i/>
          <w:snapToGrid w:val="0"/>
          <w:sz w:val="22"/>
        </w:rPr>
        <w:t xml:space="preserve"> hominis,</w:t>
      </w:r>
      <w:r>
        <w:rPr>
          <w:rFonts w:cs="Arial"/>
          <w:i/>
          <w:snapToGrid w:val="0"/>
          <w:sz w:val="22"/>
        </w:rPr>
        <w:t xml:space="preserve"> </w:t>
      </w:r>
      <w:proofErr w:type="spellStart"/>
      <w:r w:rsidRPr="008F7523">
        <w:rPr>
          <w:rFonts w:cs="Arial"/>
          <w:i/>
          <w:snapToGrid w:val="0"/>
          <w:sz w:val="22"/>
        </w:rPr>
        <w:t>Faecalibacterium</w:t>
      </w:r>
      <w:proofErr w:type="spellEnd"/>
      <w:r w:rsidRPr="008F7523">
        <w:rPr>
          <w:rFonts w:cs="Arial"/>
          <w:i/>
          <w:snapToGrid w:val="0"/>
          <w:sz w:val="22"/>
        </w:rPr>
        <w:t xml:space="preserve"> </w:t>
      </w:r>
      <w:proofErr w:type="spellStart"/>
      <w:r w:rsidRPr="008F7523">
        <w:rPr>
          <w:rFonts w:cs="Arial"/>
          <w:i/>
          <w:snapToGrid w:val="0"/>
          <w:sz w:val="22"/>
        </w:rPr>
        <w:t>prausnitzii</w:t>
      </w:r>
      <w:proofErr w:type="spellEnd"/>
      <w:r w:rsidRPr="008F7523">
        <w:rPr>
          <w:rFonts w:cs="Arial"/>
          <w:i/>
          <w:snapToGrid w:val="0"/>
          <w:sz w:val="22"/>
        </w:rPr>
        <w:t>,</w:t>
      </w:r>
      <w:r>
        <w:rPr>
          <w:rFonts w:cs="Arial"/>
          <w:i/>
          <w:snapToGrid w:val="0"/>
          <w:sz w:val="22"/>
        </w:rPr>
        <w:t xml:space="preserve"> </w:t>
      </w:r>
      <w:proofErr w:type="spellStart"/>
      <w:r w:rsidRPr="008F7523">
        <w:rPr>
          <w:rFonts w:cs="Arial"/>
          <w:i/>
          <w:snapToGrid w:val="0"/>
          <w:sz w:val="22"/>
        </w:rPr>
        <w:t>Faecalibacterium</w:t>
      </w:r>
      <w:proofErr w:type="spellEnd"/>
      <w:r w:rsidRPr="008F7523">
        <w:rPr>
          <w:rFonts w:cs="Arial"/>
          <w:i/>
          <w:snapToGrid w:val="0"/>
          <w:sz w:val="22"/>
        </w:rPr>
        <w:t xml:space="preserve"> hominis, </w:t>
      </w:r>
      <w:proofErr w:type="spellStart"/>
      <w:r w:rsidRPr="008F7523">
        <w:rPr>
          <w:rFonts w:cs="Arial"/>
          <w:i/>
          <w:snapToGrid w:val="0"/>
          <w:sz w:val="22"/>
        </w:rPr>
        <w:t>Faecalibacterium</w:t>
      </w:r>
      <w:proofErr w:type="spellEnd"/>
      <w:r w:rsidRPr="008F7523">
        <w:rPr>
          <w:rFonts w:cs="Arial"/>
          <w:i/>
          <w:snapToGrid w:val="0"/>
          <w:sz w:val="22"/>
        </w:rPr>
        <w:t xml:space="preserve"> </w:t>
      </w:r>
      <w:proofErr w:type="spellStart"/>
      <w:r w:rsidRPr="008F7523">
        <w:rPr>
          <w:rFonts w:cs="Arial"/>
          <w:i/>
          <w:snapToGrid w:val="0"/>
          <w:sz w:val="22"/>
        </w:rPr>
        <w:t>duncaniae</w:t>
      </w:r>
      <w:proofErr w:type="spellEnd"/>
      <w:r w:rsidRPr="008F7523">
        <w:rPr>
          <w:rFonts w:cs="Arial"/>
          <w:i/>
          <w:snapToGrid w:val="0"/>
          <w:sz w:val="22"/>
        </w:rPr>
        <w:t>,</w:t>
      </w:r>
      <w:r>
        <w:rPr>
          <w:rFonts w:cs="Arial"/>
          <w:i/>
          <w:snapToGrid w:val="0"/>
          <w:sz w:val="22"/>
        </w:rPr>
        <w:t xml:space="preserve"> </w:t>
      </w:r>
      <w:proofErr w:type="spellStart"/>
      <w:r w:rsidRPr="008F7523">
        <w:rPr>
          <w:rFonts w:cs="Arial"/>
          <w:i/>
          <w:snapToGrid w:val="0"/>
          <w:sz w:val="22"/>
        </w:rPr>
        <w:t>Subdoligranulum</w:t>
      </w:r>
      <w:proofErr w:type="spellEnd"/>
      <w:r w:rsidRPr="008F7523">
        <w:rPr>
          <w:rFonts w:cs="Arial"/>
          <w:i/>
          <w:snapToGrid w:val="0"/>
          <w:sz w:val="22"/>
        </w:rPr>
        <w:t xml:space="preserve"> </w:t>
      </w:r>
      <w:proofErr w:type="spellStart"/>
      <w:r w:rsidRPr="008F7523">
        <w:rPr>
          <w:rFonts w:cs="Arial"/>
          <w:i/>
          <w:snapToGrid w:val="0"/>
          <w:sz w:val="22"/>
        </w:rPr>
        <w:t>variabile</w:t>
      </w:r>
      <w:proofErr w:type="spellEnd"/>
      <w:r w:rsidRPr="008F7523">
        <w:rPr>
          <w:rFonts w:cs="Arial"/>
          <w:i/>
          <w:snapToGrid w:val="0"/>
          <w:sz w:val="22"/>
        </w:rPr>
        <w:t>,</w:t>
      </w:r>
      <w:r>
        <w:rPr>
          <w:rFonts w:cs="Arial"/>
          <w:i/>
          <w:snapToGrid w:val="0"/>
          <w:sz w:val="22"/>
        </w:rPr>
        <w:t xml:space="preserve"> </w:t>
      </w:r>
      <w:proofErr w:type="spellStart"/>
      <w:r w:rsidRPr="008F7523">
        <w:rPr>
          <w:rFonts w:cs="Arial"/>
          <w:i/>
          <w:snapToGrid w:val="0"/>
          <w:sz w:val="22"/>
        </w:rPr>
        <w:t>Intestinimonas</w:t>
      </w:r>
      <w:proofErr w:type="spellEnd"/>
      <w:r w:rsidRPr="008F7523">
        <w:rPr>
          <w:rFonts w:cs="Arial"/>
          <w:i/>
          <w:snapToGrid w:val="0"/>
          <w:sz w:val="22"/>
        </w:rPr>
        <w:t xml:space="preserve"> </w:t>
      </w:r>
      <w:proofErr w:type="spellStart"/>
      <w:r w:rsidRPr="008F7523">
        <w:rPr>
          <w:rFonts w:cs="Arial"/>
          <w:i/>
          <w:snapToGrid w:val="0"/>
          <w:sz w:val="22"/>
        </w:rPr>
        <w:t>sp</w:t>
      </w:r>
      <w:proofErr w:type="spellEnd"/>
      <w:r w:rsidRPr="008F7523">
        <w:rPr>
          <w:rFonts w:cs="Arial"/>
          <w:i/>
          <w:snapToGrid w:val="0"/>
          <w:sz w:val="22"/>
        </w:rPr>
        <w:t>.</w:t>
      </w:r>
      <w:r>
        <w:rPr>
          <w:rFonts w:cs="Arial"/>
          <w:i/>
          <w:snapToGrid w:val="0"/>
          <w:sz w:val="22"/>
        </w:rPr>
        <w:t>,</w:t>
      </w:r>
      <w:r w:rsidRPr="008F7523">
        <w:rPr>
          <w:rFonts w:cs="Arial"/>
          <w:i/>
          <w:snapToGrid w:val="0"/>
          <w:sz w:val="22"/>
        </w:rPr>
        <w:t xml:space="preserve"> </w:t>
      </w:r>
      <w:proofErr w:type="spellStart"/>
      <w:r w:rsidRPr="008F7523">
        <w:rPr>
          <w:rFonts w:cs="Arial"/>
          <w:i/>
          <w:snapToGrid w:val="0"/>
          <w:sz w:val="22"/>
        </w:rPr>
        <w:t>Gemmiger</w:t>
      </w:r>
      <w:proofErr w:type="spellEnd"/>
      <w:r w:rsidRPr="008F7523">
        <w:rPr>
          <w:rFonts w:cs="Arial"/>
          <w:i/>
          <w:snapToGrid w:val="0"/>
          <w:sz w:val="22"/>
        </w:rPr>
        <w:t xml:space="preserve"> </w:t>
      </w:r>
      <w:proofErr w:type="spellStart"/>
      <w:r w:rsidRPr="008F7523">
        <w:rPr>
          <w:rFonts w:cs="Arial"/>
          <w:i/>
          <w:snapToGrid w:val="0"/>
          <w:sz w:val="22"/>
        </w:rPr>
        <w:t>formicilis</w:t>
      </w:r>
      <w:proofErr w:type="spellEnd"/>
      <w:r w:rsidRPr="008F7523">
        <w:rPr>
          <w:rFonts w:cs="Arial"/>
          <w:i/>
          <w:snapToGrid w:val="0"/>
          <w:sz w:val="22"/>
        </w:rPr>
        <w:t xml:space="preserve">, </w:t>
      </w:r>
      <w:proofErr w:type="spellStart"/>
      <w:r w:rsidRPr="008F7523">
        <w:rPr>
          <w:rFonts w:cs="Arial"/>
          <w:i/>
          <w:snapToGrid w:val="0"/>
          <w:sz w:val="22"/>
        </w:rPr>
        <w:t>Anaerorhabdus</w:t>
      </w:r>
      <w:proofErr w:type="spellEnd"/>
      <w:r w:rsidRPr="008F7523">
        <w:rPr>
          <w:rFonts w:cs="Arial"/>
          <w:i/>
          <w:snapToGrid w:val="0"/>
          <w:sz w:val="22"/>
        </w:rPr>
        <w:t xml:space="preserve"> </w:t>
      </w:r>
      <w:proofErr w:type="spellStart"/>
      <w:r w:rsidRPr="008F7523">
        <w:rPr>
          <w:rFonts w:cs="Arial"/>
          <w:i/>
          <w:snapToGrid w:val="0"/>
          <w:sz w:val="22"/>
        </w:rPr>
        <w:t>furcosa</w:t>
      </w:r>
      <w:proofErr w:type="spellEnd"/>
      <w:r>
        <w:rPr>
          <w:rFonts w:cs="Arial"/>
          <w:snapToGrid w:val="0"/>
          <w:sz w:val="22"/>
        </w:rPr>
        <w:t>.</w:t>
      </w:r>
    </w:p>
    <w:p w14:paraId="210CF8D8" w14:textId="77777777" w:rsidR="00B013DE" w:rsidRDefault="00B013DE" w:rsidP="002A1B26">
      <w:pPr>
        <w:widowControl w:val="0"/>
        <w:pBdr>
          <w:top w:val="single" w:sz="4" w:space="1" w:color="auto"/>
          <w:left w:val="single" w:sz="4" w:space="4" w:color="auto"/>
          <w:bottom w:val="single" w:sz="4" w:space="1" w:color="auto"/>
          <w:right w:val="single" w:sz="4" w:space="4" w:color="auto"/>
        </w:pBdr>
        <w:spacing w:afterLines="60" w:after="144" w:line="240" w:lineRule="auto"/>
        <w:rPr>
          <w:rFonts w:cs="Arial"/>
          <w:snapToGrid w:val="0"/>
          <w:sz w:val="22"/>
        </w:rPr>
      </w:pPr>
    </w:p>
    <w:p w14:paraId="09B341C6" w14:textId="291D6424" w:rsidR="002A1B26" w:rsidRDefault="00864825" w:rsidP="002A1B26">
      <w:pPr>
        <w:widowControl w:val="0"/>
        <w:pBdr>
          <w:top w:val="single" w:sz="4" w:space="1" w:color="auto"/>
          <w:left w:val="single" w:sz="4" w:space="4" w:color="auto"/>
          <w:bottom w:val="single" w:sz="4" w:space="1" w:color="auto"/>
          <w:right w:val="single" w:sz="4" w:space="4" w:color="auto"/>
        </w:pBdr>
        <w:spacing w:afterLines="60" w:after="144" w:line="240" w:lineRule="auto"/>
        <w:rPr>
          <w:rFonts w:cs="Arial"/>
          <w:snapToGrid w:val="0"/>
          <w:sz w:val="22"/>
        </w:rPr>
      </w:pPr>
      <w:r w:rsidRPr="00864825">
        <w:rPr>
          <w:rFonts w:cs="Arial"/>
          <w:noProof/>
          <w:snapToGrid w:val="0"/>
          <w:sz w:val="22"/>
        </w:rPr>
        <w:drawing>
          <wp:inline distT="0" distB="0" distL="0" distR="0" wp14:anchorId="67978820" wp14:editId="4F96A86B">
            <wp:extent cx="5760720" cy="2242185"/>
            <wp:effectExtent l="0" t="0" r="0" b="5715"/>
            <wp:docPr id="22096125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961255" name=""/>
                    <pic:cNvPicPr/>
                  </pic:nvPicPr>
                  <pic:blipFill>
                    <a:blip r:embed="rId18"/>
                    <a:stretch>
                      <a:fillRect/>
                    </a:stretch>
                  </pic:blipFill>
                  <pic:spPr>
                    <a:xfrm>
                      <a:off x="0" y="0"/>
                      <a:ext cx="5760720" cy="2242185"/>
                    </a:xfrm>
                    <a:prstGeom prst="rect">
                      <a:avLst/>
                    </a:prstGeom>
                  </pic:spPr>
                </pic:pic>
              </a:graphicData>
            </a:graphic>
          </wp:inline>
        </w:drawing>
      </w:r>
    </w:p>
    <w:p w14:paraId="3CEF1176" w14:textId="77777777" w:rsidR="0062735F" w:rsidRDefault="002A1B26" w:rsidP="0062735F">
      <w:pPr>
        <w:widowControl w:val="0"/>
        <w:pBdr>
          <w:top w:val="single" w:sz="4" w:space="1" w:color="auto"/>
          <w:left w:val="single" w:sz="4" w:space="4" w:color="auto"/>
          <w:bottom w:val="single" w:sz="4" w:space="1" w:color="auto"/>
          <w:right w:val="single" w:sz="4" w:space="4" w:color="auto"/>
        </w:pBdr>
        <w:spacing w:line="240" w:lineRule="auto"/>
        <w:jc w:val="center"/>
        <w:rPr>
          <w:rFonts w:cs="Arial"/>
          <w:snapToGrid w:val="0"/>
          <w:sz w:val="22"/>
        </w:rPr>
      </w:pPr>
      <w:r w:rsidRPr="002A1B26">
        <w:rPr>
          <w:rFonts w:cs="Arial"/>
          <w:snapToGrid w:val="0"/>
          <w:sz w:val="22"/>
          <w:u w:val="single"/>
        </w:rPr>
        <w:t>Positionnement des espèces dans la classification</w:t>
      </w:r>
      <w:r w:rsidR="008F7523">
        <w:rPr>
          <w:rFonts w:cs="Arial"/>
          <w:snapToGrid w:val="0"/>
          <w:sz w:val="22"/>
          <w:u w:val="single"/>
        </w:rPr>
        <w:t xml:space="preserve"> (utilisation de l’onglet </w:t>
      </w:r>
      <w:proofErr w:type="spellStart"/>
      <w:r w:rsidR="008F7523" w:rsidRPr="0062735F">
        <w:rPr>
          <w:rFonts w:cs="Arial"/>
          <w:i/>
          <w:snapToGrid w:val="0"/>
          <w:sz w:val="22"/>
          <w:u w:val="single"/>
        </w:rPr>
        <w:t>Taxonomy</w:t>
      </w:r>
      <w:proofErr w:type="spellEnd"/>
      <w:r w:rsidR="008F7523">
        <w:rPr>
          <w:rFonts w:cs="Arial"/>
          <w:snapToGrid w:val="0"/>
          <w:sz w:val="22"/>
          <w:u w:val="single"/>
        </w:rPr>
        <w:t>)</w:t>
      </w:r>
      <w:r>
        <w:rPr>
          <w:rFonts w:cs="Arial"/>
          <w:snapToGrid w:val="0"/>
          <w:sz w:val="22"/>
        </w:rPr>
        <w:t xml:space="preserve"> : </w:t>
      </w:r>
    </w:p>
    <w:p w14:paraId="3A7DAF1D" w14:textId="77777777" w:rsidR="00926A76" w:rsidRDefault="00046F5C" w:rsidP="0062735F">
      <w:pPr>
        <w:widowControl w:val="0"/>
        <w:pBdr>
          <w:top w:val="single" w:sz="4" w:space="1" w:color="auto"/>
          <w:left w:val="single" w:sz="4" w:space="4" w:color="auto"/>
          <w:bottom w:val="single" w:sz="4" w:space="1" w:color="auto"/>
          <w:right w:val="single" w:sz="4" w:space="4" w:color="auto"/>
        </w:pBdr>
        <w:spacing w:line="240" w:lineRule="auto"/>
        <w:jc w:val="center"/>
        <w:rPr>
          <w:rFonts w:cs="Arial"/>
          <w:snapToGrid w:val="0"/>
          <w:sz w:val="22"/>
        </w:rPr>
      </w:pPr>
      <w:proofErr w:type="gramStart"/>
      <w:r>
        <w:rPr>
          <w:rFonts w:cs="Arial"/>
          <w:snapToGrid w:val="0"/>
          <w:sz w:val="22"/>
        </w:rPr>
        <w:t>on</w:t>
      </w:r>
      <w:proofErr w:type="gramEnd"/>
      <w:r>
        <w:rPr>
          <w:rFonts w:cs="Arial"/>
          <w:snapToGrid w:val="0"/>
          <w:sz w:val="22"/>
        </w:rPr>
        <w:t xml:space="preserve"> ne retrouve que</w:t>
      </w:r>
      <w:r w:rsidR="002A1B26">
        <w:rPr>
          <w:rFonts w:cs="Arial"/>
          <w:snapToGrid w:val="0"/>
          <w:sz w:val="22"/>
        </w:rPr>
        <w:t xml:space="preserve"> des bactéries du groupe des </w:t>
      </w:r>
      <w:r w:rsidR="002A1B26" w:rsidRPr="00046F5C">
        <w:rPr>
          <w:rFonts w:cs="Arial"/>
          <w:b/>
          <w:snapToGrid w:val="0"/>
          <w:sz w:val="22"/>
        </w:rPr>
        <w:t>Firmicutes</w:t>
      </w:r>
    </w:p>
    <w:p w14:paraId="02B3BDCF" w14:textId="77777777" w:rsidR="00530500" w:rsidRDefault="00530500" w:rsidP="00761CEB">
      <w:pPr>
        <w:widowControl w:val="0"/>
        <w:spacing w:afterLines="60" w:after="144" w:line="240" w:lineRule="auto"/>
        <w:rPr>
          <w:rFonts w:cs="Arial"/>
          <w:snapToGrid w:val="0"/>
          <w:sz w:val="22"/>
        </w:rPr>
      </w:pPr>
    </w:p>
    <w:p w14:paraId="4ABA018D" w14:textId="6534A9B3" w:rsidR="00B86031" w:rsidRDefault="00ED2FC7" w:rsidP="004B28AC">
      <w:pPr>
        <w:widowControl w:val="0"/>
        <w:spacing w:afterLines="60" w:after="144" w:line="240" w:lineRule="auto"/>
        <w:rPr>
          <w:rFonts w:cs="Arial"/>
          <w:snapToGrid w:val="0"/>
          <w:sz w:val="22"/>
        </w:rPr>
      </w:pPr>
      <w:r>
        <w:rPr>
          <w:rFonts w:cs="Arial"/>
          <w:snapToGrid w:val="0"/>
          <w:sz w:val="22"/>
        </w:rPr>
        <w:t>Or l</w:t>
      </w:r>
      <w:r w:rsidR="004B28AC">
        <w:rPr>
          <w:rFonts w:cs="Arial"/>
          <w:snapToGrid w:val="0"/>
          <w:sz w:val="22"/>
        </w:rPr>
        <w:t>e document 1 indique que la transformation de la bilirubine en urobilinogène se produit dans l’intestin, grâce à l’action de la bilirubine réductase (Document 2). On peut donc conclure que de nombreuses espèces de bactéries du groupe des Firmicutes, viv</w:t>
      </w:r>
      <w:r>
        <w:rPr>
          <w:rFonts w:cs="Arial"/>
          <w:snapToGrid w:val="0"/>
          <w:sz w:val="22"/>
        </w:rPr>
        <w:t>an</w:t>
      </w:r>
      <w:r w:rsidR="004B28AC">
        <w:rPr>
          <w:rFonts w:cs="Arial"/>
          <w:snapToGrid w:val="0"/>
          <w:sz w:val="22"/>
        </w:rPr>
        <w:t>t dans l’intestin</w:t>
      </w:r>
      <w:r>
        <w:rPr>
          <w:rFonts w:cs="Arial"/>
          <w:snapToGrid w:val="0"/>
          <w:sz w:val="22"/>
        </w:rPr>
        <w:t xml:space="preserve">, permettent l’élimination de la bilirubine en la transformant en urobilinogène. </w:t>
      </w:r>
      <w:r w:rsidR="00B86031">
        <w:rPr>
          <w:rFonts w:cs="Arial"/>
          <w:snapToGrid w:val="0"/>
          <w:sz w:val="22"/>
        </w:rPr>
        <w:t>L’organisme humain, ne possédant pas le gène de la bilirubine réductase, ne peut donc pas à lui tout seul éliminer la bilirubine.</w:t>
      </w:r>
    </w:p>
    <w:p w14:paraId="5E397245" w14:textId="740DA684" w:rsidR="00ED2FC7" w:rsidRDefault="00ED2FC7" w:rsidP="004B28AC">
      <w:pPr>
        <w:widowControl w:val="0"/>
        <w:spacing w:afterLines="60" w:after="144" w:line="240" w:lineRule="auto"/>
        <w:rPr>
          <w:rFonts w:cs="Arial"/>
          <w:snapToGrid w:val="0"/>
          <w:sz w:val="22"/>
        </w:rPr>
      </w:pPr>
      <w:r>
        <w:rPr>
          <w:rFonts w:cs="Arial"/>
          <w:snapToGrid w:val="0"/>
          <w:sz w:val="22"/>
        </w:rPr>
        <w:t>L’intervention des bactéries dans l’élimination de la bilirubine aura au final pour conséquence la production de stercobiline, qui colore les excréments en marron, et d’urobiline, qui colore l’urine en jaune.</w:t>
      </w:r>
    </w:p>
    <w:p w14:paraId="7B6322E1" w14:textId="4629B152" w:rsidR="00B86031" w:rsidRDefault="00B86031" w:rsidP="004B28AC">
      <w:pPr>
        <w:widowControl w:val="0"/>
        <w:spacing w:afterLines="60" w:after="144" w:line="240" w:lineRule="auto"/>
        <w:rPr>
          <w:rFonts w:cs="Arial"/>
          <w:snapToGrid w:val="0"/>
          <w:sz w:val="22"/>
        </w:rPr>
      </w:pPr>
    </w:p>
    <w:p w14:paraId="48846D7B" w14:textId="6CBBF9F1" w:rsidR="00A127C8" w:rsidRDefault="00A127C8" w:rsidP="004B28AC">
      <w:pPr>
        <w:widowControl w:val="0"/>
        <w:spacing w:afterLines="60" w:after="144" w:line="240" w:lineRule="auto"/>
        <w:rPr>
          <w:rFonts w:cs="Arial"/>
          <w:snapToGrid w:val="0"/>
          <w:sz w:val="22"/>
        </w:rPr>
      </w:pPr>
      <w:r>
        <w:rPr>
          <w:b/>
          <w:sz w:val="22"/>
        </w:rPr>
        <w:t>M</w:t>
      </w:r>
      <w:r w:rsidRPr="0029629C">
        <w:rPr>
          <w:b/>
          <w:sz w:val="22"/>
        </w:rPr>
        <w:t xml:space="preserve">ise en place progressive </w:t>
      </w:r>
      <w:r>
        <w:rPr>
          <w:b/>
          <w:sz w:val="22"/>
        </w:rPr>
        <w:t>du microbiote</w:t>
      </w:r>
      <w:r w:rsidRPr="0029629C">
        <w:rPr>
          <w:b/>
          <w:sz w:val="22"/>
        </w:rPr>
        <w:t xml:space="preserve"> chez le nouveau-né</w:t>
      </w:r>
    </w:p>
    <w:p w14:paraId="4485729C" w14:textId="5CDA51C4" w:rsidR="001B613F" w:rsidRPr="00A77F9F" w:rsidRDefault="001B613F" w:rsidP="001B613F">
      <w:pPr>
        <w:pBdr>
          <w:bottom w:val="single" w:sz="4" w:space="1" w:color="auto"/>
        </w:pBdr>
        <w:shd w:val="clear" w:color="auto" w:fill="8DB3E2" w:themeFill="text2" w:themeFillTint="66"/>
        <w:spacing w:after="120" w:line="240" w:lineRule="auto"/>
        <w:rPr>
          <w:b/>
          <w:sz w:val="22"/>
        </w:rPr>
      </w:pPr>
      <w:r w:rsidRPr="00A77F9F">
        <w:rPr>
          <w:b/>
          <w:sz w:val="22"/>
        </w:rPr>
        <w:t>Consigne</w:t>
      </w:r>
      <w:r>
        <w:rPr>
          <w:b/>
          <w:sz w:val="22"/>
        </w:rPr>
        <w:t>s de l’activité 2</w:t>
      </w:r>
    </w:p>
    <w:p w14:paraId="4E8A9E4B" w14:textId="77777777" w:rsidR="001B613F" w:rsidRDefault="001B613F" w:rsidP="001B613F">
      <w:pPr>
        <w:rPr>
          <w:b/>
          <w:sz w:val="22"/>
        </w:rPr>
      </w:pPr>
    </w:p>
    <w:p w14:paraId="36E78900" w14:textId="2AE933F8" w:rsidR="001B613F" w:rsidRPr="002E73B9" w:rsidRDefault="00044580" w:rsidP="00465DBD">
      <w:pPr>
        <w:spacing w:line="240" w:lineRule="auto"/>
        <w:rPr>
          <w:b/>
          <w:sz w:val="22"/>
        </w:rPr>
      </w:pPr>
      <w:r>
        <w:rPr>
          <w:b/>
          <w:sz w:val="22"/>
        </w:rPr>
        <w:t>On cherche à montrer que la capacité à éliminer l</w:t>
      </w:r>
      <w:r w:rsidR="00F50479">
        <w:rPr>
          <w:b/>
          <w:sz w:val="22"/>
        </w:rPr>
        <w:t>a</w:t>
      </w:r>
      <w:r>
        <w:rPr>
          <w:b/>
          <w:sz w:val="22"/>
        </w:rPr>
        <w:t xml:space="preserve"> bilirubine chez le nourrisson est acquise progressivement </w:t>
      </w:r>
      <w:r w:rsidR="00F50479">
        <w:rPr>
          <w:b/>
          <w:sz w:val="22"/>
        </w:rPr>
        <w:t>lors de la colonisation de son intestin par les bactéries et que cela est bénéfique pour sa santé.</w:t>
      </w:r>
    </w:p>
    <w:p w14:paraId="6B7F9219" w14:textId="76ABDA97" w:rsidR="001B613F" w:rsidRPr="00214D88" w:rsidRDefault="005A4065" w:rsidP="00465DBD">
      <w:pPr>
        <w:spacing w:line="240" w:lineRule="auto"/>
        <w:rPr>
          <w:b/>
          <w:sz w:val="22"/>
        </w:rPr>
      </w:pPr>
      <w:r>
        <w:rPr>
          <w:b/>
          <w:sz w:val="22"/>
        </w:rPr>
        <w:t>Afin de</w:t>
      </w:r>
      <w:r w:rsidR="001B613F" w:rsidRPr="00214D88">
        <w:rPr>
          <w:b/>
          <w:sz w:val="22"/>
        </w:rPr>
        <w:t xml:space="preserve"> répondre </w:t>
      </w:r>
      <w:r>
        <w:rPr>
          <w:b/>
          <w:sz w:val="22"/>
        </w:rPr>
        <w:t xml:space="preserve">à ces </w:t>
      </w:r>
      <w:r w:rsidR="001B613F" w:rsidRPr="00214D88">
        <w:rPr>
          <w:b/>
          <w:sz w:val="22"/>
        </w:rPr>
        <w:t>objectifs</w:t>
      </w:r>
      <w:r>
        <w:rPr>
          <w:b/>
          <w:sz w:val="22"/>
        </w:rPr>
        <w:t xml:space="preserve"> il faudra </w:t>
      </w:r>
      <w:r>
        <w:rPr>
          <w:rFonts w:cs="Arial"/>
          <w:b/>
          <w:bCs/>
          <w:snapToGrid w:val="0"/>
          <w:sz w:val="22"/>
        </w:rPr>
        <w:t>m</w:t>
      </w:r>
      <w:r w:rsidRPr="00F93B05">
        <w:rPr>
          <w:rFonts w:cs="Arial"/>
          <w:b/>
          <w:bCs/>
          <w:snapToGrid w:val="0"/>
          <w:sz w:val="22"/>
        </w:rPr>
        <w:t xml:space="preserve">ettre en relation </w:t>
      </w:r>
      <w:r>
        <w:rPr>
          <w:rFonts w:cs="Arial"/>
          <w:b/>
          <w:bCs/>
          <w:snapToGrid w:val="0"/>
          <w:sz w:val="22"/>
        </w:rPr>
        <w:t>les ressources proposé</w:t>
      </w:r>
      <w:r w:rsidR="00836F18">
        <w:rPr>
          <w:rFonts w:cs="Arial"/>
          <w:b/>
          <w:bCs/>
          <w:snapToGrid w:val="0"/>
          <w:sz w:val="22"/>
        </w:rPr>
        <w:t>e</w:t>
      </w:r>
      <w:r>
        <w:rPr>
          <w:rFonts w:cs="Arial"/>
          <w:b/>
          <w:bCs/>
          <w:snapToGrid w:val="0"/>
          <w:sz w:val="22"/>
        </w:rPr>
        <w:t>s pour</w:t>
      </w:r>
      <w:r w:rsidR="001B613F" w:rsidRPr="00214D88">
        <w:rPr>
          <w:b/>
          <w:sz w:val="22"/>
        </w:rPr>
        <w:t> :</w:t>
      </w:r>
    </w:p>
    <w:p w14:paraId="3B30457A" w14:textId="616667FB" w:rsidR="005A4065" w:rsidRPr="005A4065" w:rsidRDefault="005A4065" w:rsidP="00465DBD">
      <w:pPr>
        <w:pStyle w:val="Paragraphedeliste"/>
        <w:widowControl w:val="0"/>
        <w:numPr>
          <w:ilvl w:val="0"/>
          <w:numId w:val="31"/>
        </w:numPr>
        <w:spacing w:afterLines="60" w:after="144" w:line="240" w:lineRule="auto"/>
        <w:rPr>
          <w:rFonts w:cs="Arial"/>
          <w:b/>
          <w:bCs/>
          <w:snapToGrid w:val="0"/>
          <w:sz w:val="22"/>
        </w:rPr>
      </w:pPr>
      <w:proofErr w:type="gramStart"/>
      <w:r>
        <w:rPr>
          <w:rFonts w:cs="Arial"/>
          <w:b/>
          <w:bCs/>
          <w:snapToGrid w:val="0"/>
          <w:sz w:val="22"/>
        </w:rPr>
        <w:t>expliquer</w:t>
      </w:r>
      <w:proofErr w:type="gramEnd"/>
      <w:r>
        <w:rPr>
          <w:rFonts w:cs="Arial"/>
          <w:b/>
          <w:bCs/>
          <w:snapToGrid w:val="0"/>
          <w:sz w:val="22"/>
        </w:rPr>
        <w:t xml:space="preserve"> pourquoi la jaunisse est fréquente durant les 3 premiers mois de la vie ;</w:t>
      </w:r>
    </w:p>
    <w:p w14:paraId="2B1055A9" w14:textId="30EA6171" w:rsidR="00F93B05" w:rsidRPr="00F93B05" w:rsidRDefault="005A4065" w:rsidP="00465DBD">
      <w:pPr>
        <w:pStyle w:val="Paragraphedeliste"/>
        <w:widowControl w:val="0"/>
        <w:numPr>
          <w:ilvl w:val="0"/>
          <w:numId w:val="31"/>
        </w:numPr>
        <w:spacing w:afterLines="60" w:after="144" w:line="240" w:lineRule="auto"/>
        <w:rPr>
          <w:rFonts w:cs="Arial"/>
          <w:b/>
          <w:bCs/>
          <w:snapToGrid w:val="0"/>
          <w:sz w:val="22"/>
        </w:rPr>
      </w:pPr>
      <w:proofErr w:type="gramStart"/>
      <w:r>
        <w:rPr>
          <w:rFonts w:cs="Arial"/>
          <w:b/>
          <w:bCs/>
          <w:snapToGrid w:val="0"/>
          <w:sz w:val="22"/>
        </w:rPr>
        <w:t>d</w:t>
      </w:r>
      <w:r w:rsidR="00F93B05">
        <w:rPr>
          <w:rFonts w:cs="Arial"/>
          <w:b/>
          <w:bCs/>
          <w:snapToGrid w:val="0"/>
          <w:sz w:val="22"/>
        </w:rPr>
        <w:t>éterminer</w:t>
      </w:r>
      <w:proofErr w:type="gramEnd"/>
      <w:r w:rsidR="00F93B05">
        <w:rPr>
          <w:rFonts w:cs="Arial"/>
          <w:b/>
          <w:bCs/>
          <w:snapToGrid w:val="0"/>
          <w:sz w:val="22"/>
        </w:rPr>
        <w:t xml:space="preserve"> </w:t>
      </w:r>
      <w:r>
        <w:rPr>
          <w:rFonts w:cs="Arial"/>
          <w:b/>
          <w:bCs/>
          <w:snapToGrid w:val="0"/>
          <w:sz w:val="22"/>
        </w:rPr>
        <w:t>pour quelles raisons le risque de jaunisse diminue</w:t>
      </w:r>
      <w:r w:rsidR="00F93B05">
        <w:rPr>
          <w:rFonts w:cs="Arial"/>
          <w:b/>
          <w:bCs/>
          <w:snapToGrid w:val="0"/>
          <w:sz w:val="22"/>
        </w:rPr>
        <w:t xml:space="preserve"> </w:t>
      </w:r>
      <w:r>
        <w:rPr>
          <w:rFonts w:cs="Arial"/>
          <w:b/>
          <w:bCs/>
          <w:snapToGrid w:val="0"/>
          <w:sz w:val="22"/>
        </w:rPr>
        <w:t>quand le nourrisson prend de l’âge.</w:t>
      </w:r>
    </w:p>
    <w:p w14:paraId="6FF3AD44" w14:textId="77777777" w:rsidR="001B613F" w:rsidRDefault="001B613F" w:rsidP="00761CEB">
      <w:pPr>
        <w:widowControl w:val="0"/>
        <w:spacing w:afterLines="60" w:after="144" w:line="240" w:lineRule="auto"/>
        <w:rPr>
          <w:rFonts w:cs="Arial"/>
          <w:snapToGrid w:val="0"/>
          <w:sz w:val="22"/>
        </w:rPr>
      </w:pPr>
    </w:p>
    <w:p w14:paraId="724B0B54" w14:textId="77777777" w:rsidR="00926A76" w:rsidRPr="00A77F9F" w:rsidRDefault="00926A76" w:rsidP="00926A76">
      <w:pPr>
        <w:pBdr>
          <w:bottom w:val="single" w:sz="4" w:space="1" w:color="auto"/>
        </w:pBdr>
        <w:shd w:val="clear" w:color="auto" w:fill="8DB3E2" w:themeFill="text2" w:themeFillTint="66"/>
        <w:spacing w:after="120" w:line="240" w:lineRule="auto"/>
        <w:rPr>
          <w:b/>
          <w:sz w:val="22"/>
          <w:szCs w:val="22"/>
        </w:rPr>
      </w:pPr>
      <w:r>
        <w:rPr>
          <w:b/>
          <w:sz w:val="22"/>
          <w:szCs w:val="22"/>
        </w:rPr>
        <w:t xml:space="preserve">Ressources </w:t>
      </w:r>
      <w:r w:rsidR="00E10903">
        <w:rPr>
          <w:b/>
          <w:sz w:val="22"/>
          <w:szCs w:val="22"/>
        </w:rPr>
        <w:t>de l’</w:t>
      </w:r>
      <w:r>
        <w:rPr>
          <w:b/>
          <w:sz w:val="22"/>
          <w:szCs w:val="22"/>
        </w:rPr>
        <w:t>activité 2</w:t>
      </w:r>
    </w:p>
    <w:p w14:paraId="43FE78A5" w14:textId="4AC075AF" w:rsidR="004D3DCC" w:rsidRDefault="00F93B05" w:rsidP="004D3DCC">
      <w:pPr>
        <w:rPr>
          <w:sz w:val="22"/>
        </w:rPr>
      </w:pPr>
      <w:r>
        <w:rPr>
          <w:sz w:val="22"/>
        </w:rPr>
        <w:t>Les résultats de l’activité 1 seront utiles.</w:t>
      </w:r>
    </w:p>
    <w:p w14:paraId="1436E795" w14:textId="77777777" w:rsidR="00F93B05" w:rsidRPr="00F93B05" w:rsidRDefault="00F93B05" w:rsidP="004D3DCC">
      <w:pPr>
        <w:rPr>
          <w:sz w:val="16"/>
        </w:rPr>
      </w:pPr>
    </w:p>
    <w:p w14:paraId="146737C6" w14:textId="77777777" w:rsidR="00926A76" w:rsidRPr="00DB14A5" w:rsidRDefault="00926A76" w:rsidP="00926A76">
      <w:pPr>
        <w:spacing w:line="240" w:lineRule="auto"/>
        <w:rPr>
          <w:sz w:val="2"/>
        </w:rPr>
      </w:pPr>
    </w:p>
    <w:tbl>
      <w:tblPr>
        <w:tblStyle w:val="Grilledutableau"/>
        <w:tblW w:w="9067" w:type="dxa"/>
        <w:tblLayout w:type="fixed"/>
        <w:tblLook w:val="04A0" w:firstRow="1" w:lastRow="0" w:firstColumn="1" w:lastColumn="0" w:noHBand="0" w:noVBand="1"/>
      </w:tblPr>
      <w:tblGrid>
        <w:gridCol w:w="9067"/>
      </w:tblGrid>
      <w:tr w:rsidR="00926A76" w:rsidRPr="000F53A6" w14:paraId="32B59082" w14:textId="77777777" w:rsidTr="00D16459">
        <w:trPr>
          <w:trHeight w:val="58"/>
        </w:trPr>
        <w:tc>
          <w:tcPr>
            <w:tcW w:w="9067" w:type="dxa"/>
            <w:tcBorders>
              <w:top w:val="single" w:sz="4" w:space="0" w:color="auto"/>
              <w:bottom w:val="single" w:sz="4" w:space="0" w:color="auto"/>
            </w:tcBorders>
          </w:tcPr>
          <w:p w14:paraId="56D354A3" w14:textId="77777777" w:rsidR="00926A76" w:rsidRDefault="00926A76" w:rsidP="00533C04">
            <w:pPr>
              <w:autoSpaceDE w:val="0"/>
              <w:autoSpaceDN w:val="0"/>
              <w:adjustRightInd w:val="0"/>
              <w:rPr>
                <w:rFonts w:cs="Calibri"/>
                <w:sz w:val="22"/>
                <w:szCs w:val="22"/>
              </w:rPr>
            </w:pPr>
            <w:r w:rsidRPr="00A77F9F">
              <w:rPr>
                <w:b/>
                <w:sz w:val="22"/>
                <w:szCs w:val="22"/>
              </w:rPr>
              <w:t>Document</w:t>
            </w:r>
            <w:r w:rsidRPr="00A77F9F">
              <w:rPr>
                <w:sz w:val="22"/>
                <w:szCs w:val="22"/>
              </w:rPr>
              <w:t xml:space="preserve"> </w:t>
            </w:r>
            <w:r w:rsidR="004D3DCC">
              <w:rPr>
                <w:b/>
                <w:sz w:val="22"/>
                <w:szCs w:val="22"/>
              </w:rPr>
              <w:t>6</w:t>
            </w:r>
            <w:r w:rsidRPr="00A77F9F">
              <w:rPr>
                <w:b/>
                <w:sz w:val="22"/>
                <w:szCs w:val="22"/>
              </w:rPr>
              <w:t xml:space="preserve"> </w:t>
            </w:r>
            <w:r w:rsidRPr="00A77F9F">
              <w:rPr>
                <w:sz w:val="22"/>
                <w:szCs w:val="22"/>
              </w:rPr>
              <w:t>:</w:t>
            </w:r>
            <w:r>
              <w:rPr>
                <w:sz w:val="22"/>
                <w:szCs w:val="22"/>
              </w:rPr>
              <w:t xml:space="preserve"> </w:t>
            </w:r>
            <w:r w:rsidR="004D3DCC">
              <w:rPr>
                <w:rFonts w:cs="Calibri"/>
                <w:sz w:val="22"/>
                <w:szCs w:val="22"/>
              </w:rPr>
              <w:t>Bilirubine et santé</w:t>
            </w:r>
          </w:p>
          <w:p w14:paraId="0462C36A" w14:textId="77777777" w:rsidR="00530500" w:rsidRPr="00D777CD" w:rsidRDefault="00530500" w:rsidP="00530500">
            <w:pPr>
              <w:autoSpaceDE w:val="0"/>
              <w:autoSpaceDN w:val="0"/>
              <w:adjustRightInd w:val="0"/>
              <w:rPr>
                <w:sz w:val="20"/>
                <w:szCs w:val="20"/>
              </w:rPr>
            </w:pPr>
          </w:p>
          <w:p w14:paraId="5BEF76F3" w14:textId="77777777" w:rsidR="00C7155E" w:rsidRPr="00BB63D2" w:rsidRDefault="00A06DE5" w:rsidP="00C7155E">
            <w:pPr>
              <w:autoSpaceDE w:val="0"/>
              <w:autoSpaceDN w:val="0"/>
              <w:adjustRightInd w:val="0"/>
              <w:rPr>
                <w:sz w:val="22"/>
                <w:szCs w:val="20"/>
              </w:rPr>
            </w:pPr>
            <w:r w:rsidRPr="00BB63D2">
              <w:rPr>
                <w:sz w:val="22"/>
                <w:szCs w:val="20"/>
              </w:rPr>
              <w:t xml:space="preserve">À des concentrations modérées dans le sang, la bilirubine joue le rôle d'un important antioxydant qui a des effets bénéfiques sur la santé. </w:t>
            </w:r>
          </w:p>
          <w:p w14:paraId="0CB32006" w14:textId="77777777" w:rsidR="00A06DE5" w:rsidRPr="00BB63D2" w:rsidRDefault="00C7155E" w:rsidP="00A06DE5">
            <w:pPr>
              <w:autoSpaceDE w:val="0"/>
              <w:autoSpaceDN w:val="0"/>
              <w:adjustRightInd w:val="0"/>
              <w:rPr>
                <w:sz w:val="22"/>
                <w:szCs w:val="20"/>
              </w:rPr>
            </w:pPr>
            <w:r w:rsidRPr="00BB63D2">
              <w:rPr>
                <w:sz w:val="22"/>
                <w:szCs w:val="20"/>
              </w:rPr>
              <w:lastRenderedPageBreak/>
              <w:t xml:space="preserve">Mais si </w:t>
            </w:r>
            <w:r w:rsidR="00667A41" w:rsidRPr="00BB63D2">
              <w:rPr>
                <w:sz w:val="22"/>
                <w:szCs w:val="20"/>
              </w:rPr>
              <w:t>s</w:t>
            </w:r>
            <w:r w:rsidRPr="00BB63D2">
              <w:rPr>
                <w:sz w:val="22"/>
                <w:szCs w:val="20"/>
              </w:rPr>
              <w:t xml:space="preserve">a concentration augmente trop dans l’intestin, elle est réabsorbée et retourne dans le sang </w:t>
            </w:r>
            <w:r w:rsidR="00A4365E">
              <w:rPr>
                <w:sz w:val="22"/>
                <w:szCs w:val="20"/>
              </w:rPr>
              <w:t xml:space="preserve">où elle s’accumule </w:t>
            </w:r>
            <w:r w:rsidRPr="00BB63D2">
              <w:rPr>
                <w:sz w:val="22"/>
                <w:szCs w:val="20"/>
              </w:rPr>
              <w:t>(voir document 1). E</w:t>
            </w:r>
            <w:r w:rsidR="00A06DE5" w:rsidRPr="00BB63D2">
              <w:rPr>
                <w:sz w:val="22"/>
                <w:szCs w:val="20"/>
              </w:rPr>
              <w:t xml:space="preserve">lle </w:t>
            </w:r>
            <w:r w:rsidRPr="00BB63D2">
              <w:rPr>
                <w:sz w:val="22"/>
                <w:szCs w:val="20"/>
              </w:rPr>
              <w:t>devient alors</w:t>
            </w:r>
            <w:r w:rsidR="00A06DE5" w:rsidRPr="00BB63D2">
              <w:rPr>
                <w:sz w:val="22"/>
                <w:szCs w:val="20"/>
              </w:rPr>
              <w:t xml:space="preserve"> toxique. Elle entraine d’abord une jaunisse : la peau et le blanc des yeux deviennent jaune</w:t>
            </w:r>
            <w:r w:rsidRPr="00BB63D2">
              <w:rPr>
                <w:sz w:val="22"/>
                <w:szCs w:val="20"/>
              </w:rPr>
              <w:t>s</w:t>
            </w:r>
            <w:r w:rsidR="00A06DE5" w:rsidRPr="00BB63D2">
              <w:rPr>
                <w:sz w:val="22"/>
                <w:szCs w:val="20"/>
              </w:rPr>
              <w:t xml:space="preserve">. Dans les cas extrêmes, </w:t>
            </w:r>
            <w:r w:rsidRPr="00BB63D2">
              <w:rPr>
                <w:sz w:val="22"/>
                <w:szCs w:val="20"/>
              </w:rPr>
              <w:t xml:space="preserve">à très fortes concentrations, </w:t>
            </w:r>
            <w:r w:rsidR="00667A41" w:rsidRPr="00BB63D2">
              <w:rPr>
                <w:sz w:val="22"/>
                <w:szCs w:val="20"/>
              </w:rPr>
              <w:t>la bilirubine</w:t>
            </w:r>
            <w:r w:rsidRPr="00BB63D2">
              <w:rPr>
                <w:sz w:val="22"/>
                <w:szCs w:val="20"/>
              </w:rPr>
              <w:t xml:space="preserve"> provoque </w:t>
            </w:r>
            <w:r w:rsidR="00A06DE5" w:rsidRPr="00BB63D2">
              <w:rPr>
                <w:sz w:val="22"/>
                <w:szCs w:val="20"/>
              </w:rPr>
              <w:t xml:space="preserve">l'ictère nucléaire, </w:t>
            </w:r>
            <w:r w:rsidRPr="00BB63D2">
              <w:rPr>
                <w:sz w:val="22"/>
                <w:szCs w:val="20"/>
              </w:rPr>
              <w:t>c’est-à-dire une attaque irréversible du cerveau.</w:t>
            </w:r>
          </w:p>
          <w:p w14:paraId="4EE02E31" w14:textId="77777777" w:rsidR="00781D8A" w:rsidRPr="00BB63D2" w:rsidRDefault="00781D8A" w:rsidP="00A06DE5">
            <w:pPr>
              <w:autoSpaceDE w:val="0"/>
              <w:autoSpaceDN w:val="0"/>
              <w:adjustRightInd w:val="0"/>
              <w:rPr>
                <w:sz w:val="22"/>
                <w:szCs w:val="20"/>
              </w:rPr>
            </w:pPr>
            <w:r w:rsidRPr="00BB63D2">
              <w:rPr>
                <w:sz w:val="22"/>
                <w:szCs w:val="20"/>
              </w:rPr>
              <w:t xml:space="preserve">La jaunisse est très fréquente chez les </w:t>
            </w:r>
            <w:r w:rsidR="00667A41" w:rsidRPr="00BB63D2">
              <w:rPr>
                <w:sz w:val="22"/>
                <w:szCs w:val="20"/>
              </w:rPr>
              <w:t>nouveau-nés</w:t>
            </w:r>
            <w:r w:rsidRPr="00BB63D2">
              <w:rPr>
                <w:sz w:val="22"/>
                <w:szCs w:val="20"/>
              </w:rPr>
              <w:t>.</w:t>
            </w:r>
          </w:p>
          <w:p w14:paraId="0958E77E" w14:textId="77777777" w:rsidR="00926A76" w:rsidRPr="00B8656F" w:rsidRDefault="00926A76" w:rsidP="00926A76">
            <w:pPr>
              <w:jc w:val="both"/>
              <w:rPr>
                <w:sz w:val="22"/>
              </w:rPr>
            </w:pPr>
          </w:p>
        </w:tc>
      </w:tr>
    </w:tbl>
    <w:p w14:paraId="7A75ACDB" w14:textId="77777777" w:rsidR="00926A76" w:rsidRDefault="00926A76" w:rsidP="00926A76">
      <w:pPr>
        <w:rPr>
          <w:sz w:val="16"/>
        </w:rPr>
      </w:pPr>
    </w:p>
    <w:p w14:paraId="0F754167" w14:textId="77777777" w:rsidR="004D3DCC" w:rsidRPr="00A77F9F" w:rsidRDefault="004D3DCC" w:rsidP="00926A76">
      <w:pPr>
        <w:rPr>
          <w:sz w:val="16"/>
        </w:rPr>
      </w:pPr>
    </w:p>
    <w:tbl>
      <w:tblPr>
        <w:tblStyle w:val="Grilledutableau"/>
        <w:tblW w:w="0" w:type="auto"/>
        <w:tblLook w:val="04A0" w:firstRow="1" w:lastRow="0" w:firstColumn="1" w:lastColumn="0" w:noHBand="0" w:noVBand="1"/>
      </w:tblPr>
      <w:tblGrid>
        <w:gridCol w:w="9062"/>
      </w:tblGrid>
      <w:tr w:rsidR="00926A76" w14:paraId="0431BC9F" w14:textId="77777777" w:rsidTr="00533C04">
        <w:tc>
          <w:tcPr>
            <w:tcW w:w="9212" w:type="dxa"/>
          </w:tcPr>
          <w:p w14:paraId="205AB901" w14:textId="77777777" w:rsidR="00926A76" w:rsidRDefault="00926A76" w:rsidP="00533C04">
            <w:pPr>
              <w:autoSpaceDE w:val="0"/>
              <w:autoSpaceDN w:val="0"/>
              <w:adjustRightInd w:val="0"/>
              <w:rPr>
                <w:rFonts w:cs="Calibri"/>
                <w:sz w:val="22"/>
                <w:szCs w:val="22"/>
              </w:rPr>
            </w:pPr>
            <w:r w:rsidRPr="00A77F9F">
              <w:rPr>
                <w:b/>
                <w:sz w:val="22"/>
                <w:szCs w:val="22"/>
              </w:rPr>
              <w:t>Document</w:t>
            </w:r>
            <w:r w:rsidRPr="00A77F9F">
              <w:rPr>
                <w:sz w:val="22"/>
                <w:szCs w:val="22"/>
              </w:rPr>
              <w:t xml:space="preserve"> </w:t>
            </w:r>
            <w:r w:rsidR="00530500">
              <w:rPr>
                <w:b/>
                <w:sz w:val="22"/>
                <w:szCs w:val="22"/>
              </w:rPr>
              <w:t>7</w:t>
            </w:r>
            <w:r w:rsidRPr="00A77F9F">
              <w:rPr>
                <w:b/>
                <w:sz w:val="22"/>
                <w:szCs w:val="22"/>
              </w:rPr>
              <w:t xml:space="preserve"> </w:t>
            </w:r>
            <w:r w:rsidRPr="00A77F9F">
              <w:rPr>
                <w:sz w:val="22"/>
                <w:szCs w:val="22"/>
              </w:rPr>
              <w:t>:</w:t>
            </w:r>
            <w:r>
              <w:rPr>
                <w:sz w:val="22"/>
                <w:szCs w:val="22"/>
              </w:rPr>
              <w:t xml:space="preserve"> </w:t>
            </w:r>
            <w:r w:rsidR="00A06DE5">
              <w:rPr>
                <w:sz w:val="22"/>
                <w:szCs w:val="22"/>
              </w:rPr>
              <w:t>Occurrence de la j</w:t>
            </w:r>
            <w:r w:rsidR="00530500">
              <w:rPr>
                <w:sz w:val="22"/>
                <w:szCs w:val="22"/>
              </w:rPr>
              <w:t xml:space="preserve">aunisse du nouveau-né et </w:t>
            </w:r>
            <w:r w:rsidR="00A06DE5">
              <w:rPr>
                <w:rFonts w:cs="Calibri"/>
                <w:sz w:val="22"/>
                <w:szCs w:val="22"/>
              </w:rPr>
              <w:t>présence</w:t>
            </w:r>
            <w:r w:rsidR="00530500">
              <w:rPr>
                <w:rFonts w:cs="Calibri"/>
                <w:sz w:val="22"/>
                <w:szCs w:val="22"/>
              </w:rPr>
              <w:t xml:space="preserve"> de la bi</w:t>
            </w:r>
            <w:r w:rsidR="00A57DF5">
              <w:rPr>
                <w:rFonts w:cs="Calibri"/>
                <w:sz w:val="22"/>
                <w:szCs w:val="22"/>
              </w:rPr>
              <w:t>l</w:t>
            </w:r>
            <w:r w:rsidR="00530500">
              <w:rPr>
                <w:rFonts w:cs="Calibri"/>
                <w:sz w:val="22"/>
                <w:szCs w:val="22"/>
              </w:rPr>
              <w:t>iru</w:t>
            </w:r>
            <w:r w:rsidR="00A06DE5">
              <w:rPr>
                <w:rFonts w:cs="Calibri"/>
                <w:sz w:val="22"/>
                <w:szCs w:val="22"/>
              </w:rPr>
              <w:t>b</w:t>
            </w:r>
            <w:r w:rsidR="00530500">
              <w:rPr>
                <w:rFonts w:cs="Calibri"/>
                <w:sz w:val="22"/>
                <w:szCs w:val="22"/>
              </w:rPr>
              <w:t>ine réductase (</w:t>
            </w:r>
            <w:proofErr w:type="spellStart"/>
            <w:r w:rsidR="00530500">
              <w:rPr>
                <w:rFonts w:cs="Calibri"/>
                <w:sz w:val="22"/>
                <w:szCs w:val="22"/>
              </w:rPr>
              <w:t>bilR</w:t>
            </w:r>
            <w:proofErr w:type="spellEnd"/>
            <w:r w:rsidR="00530500">
              <w:rPr>
                <w:rFonts w:cs="Calibri"/>
                <w:sz w:val="22"/>
                <w:szCs w:val="22"/>
              </w:rPr>
              <w:t>) chez le jeune enfant</w:t>
            </w:r>
          </w:p>
          <w:p w14:paraId="537811C3" w14:textId="77777777" w:rsidR="00530500" w:rsidRDefault="00530500" w:rsidP="00533C04">
            <w:pPr>
              <w:autoSpaceDE w:val="0"/>
              <w:autoSpaceDN w:val="0"/>
              <w:adjustRightInd w:val="0"/>
              <w:rPr>
                <w:rFonts w:cs="Calibri"/>
                <w:sz w:val="22"/>
                <w:szCs w:val="22"/>
              </w:rPr>
            </w:pPr>
            <w:r w:rsidRPr="00530500">
              <w:rPr>
                <w:sz w:val="20"/>
                <w:lang w:val="en-US"/>
              </w:rPr>
              <w:t xml:space="preserve">Source : </w:t>
            </w:r>
            <w:hyperlink r:id="rId19" w:history="1">
              <w:r w:rsidRPr="006178A5">
                <w:rPr>
                  <w:rStyle w:val="Lienhypertexte"/>
                  <w:sz w:val="20"/>
                  <w:szCs w:val="20"/>
                  <w:lang w:val="en-US"/>
                </w:rPr>
                <w:t xml:space="preserve">Hall, B., Levy, S., Dufault-Thompson, K. et al. </w:t>
              </w:r>
              <w:proofErr w:type="spellStart"/>
              <w:r w:rsidRPr="00D26B08">
                <w:rPr>
                  <w:rStyle w:val="Lienhypertexte"/>
                  <w:sz w:val="20"/>
                  <w:szCs w:val="20"/>
                  <w:lang w:val="en-US"/>
                </w:rPr>
                <w:t>BilR</w:t>
              </w:r>
              <w:proofErr w:type="spellEnd"/>
              <w:r w:rsidRPr="00D26B08">
                <w:rPr>
                  <w:rStyle w:val="Lienhypertexte"/>
                  <w:sz w:val="20"/>
                  <w:szCs w:val="20"/>
                  <w:lang w:val="en-US"/>
                </w:rPr>
                <w:t xml:space="preserve"> is a gut microbial enzyme that reduces bilirubin to urobilinogen. </w:t>
              </w:r>
              <w:r w:rsidRPr="00D26B08">
                <w:rPr>
                  <w:rStyle w:val="Lienhypertexte"/>
                  <w:sz w:val="20"/>
                  <w:szCs w:val="20"/>
                </w:rPr>
                <w:t xml:space="preserve">Nat </w:t>
              </w:r>
              <w:proofErr w:type="spellStart"/>
              <w:r w:rsidRPr="00D26B08">
                <w:rPr>
                  <w:rStyle w:val="Lienhypertexte"/>
                  <w:sz w:val="20"/>
                  <w:szCs w:val="20"/>
                </w:rPr>
                <w:t>Microbiol</w:t>
              </w:r>
              <w:proofErr w:type="spellEnd"/>
              <w:r w:rsidRPr="00D26B08">
                <w:rPr>
                  <w:rStyle w:val="Lienhypertexte"/>
                  <w:sz w:val="20"/>
                  <w:szCs w:val="20"/>
                </w:rPr>
                <w:t xml:space="preserve"> 9, 173–184 (2024</w:t>
              </w:r>
            </w:hyperlink>
            <w:r w:rsidRPr="00014C6B">
              <w:rPr>
                <w:sz w:val="20"/>
                <w:szCs w:val="20"/>
              </w:rPr>
              <w:t>)</w:t>
            </w:r>
          </w:p>
          <w:p w14:paraId="404E3ABC" w14:textId="77777777" w:rsidR="00926A76" w:rsidRDefault="00926A76" w:rsidP="00533C04">
            <w:pPr>
              <w:rPr>
                <w:sz w:val="22"/>
              </w:rPr>
            </w:pPr>
          </w:p>
          <w:p w14:paraId="1430106C" w14:textId="77777777" w:rsidR="00926A76" w:rsidRDefault="00A06DE5" w:rsidP="00A06DE5">
            <w:pPr>
              <w:jc w:val="center"/>
              <w:rPr>
                <w:sz w:val="22"/>
              </w:rPr>
            </w:pPr>
            <w:r>
              <w:rPr>
                <w:noProof/>
                <w:sz w:val="22"/>
              </w:rPr>
              <w:drawing>
                <wp:inline distT="0" distB="0" distL="0" distR="0" wp14:anchorId="290CAD0E" wp14:editId="6657C002">
                  <wp:extent cx="4079913" cy="3528098"/>
                  <wp:effectExtent l="0" t="0" r="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jaunisse_neonatale_vs_bilr.PNG"/>
                          <pic:cNvPicPr/>
                        </pic:nvPicPr>
                        <pic:blipFill>
                          <a:blip r:embed="rId20">
                            <a:extLst>
                              <a:ext uri="{28A0092B-C50C-407E-A947-70E740481C1C}">
                                <a14:useLocalDpi xmlns:a14="http://schemas.microsoft.com/office/drawing/2010/main" val="0"/>
                              </a:ext>
                            </a:extLst>
                          </a:blip>
                          <a:stretch>
                            <a:fillRect/>
                          </a:stretch>
                        </pic:blipFill>
                        <pic:spPr>
                          <a:xfrm>
                            <a:off x="0" y="0"/>
                            <a:ext cx="4084236" cy="3531836"/>
                          </a:xfrm>
                          <a:prstGeom prst="rect">
                            <a:avLst/>
                          </a:prstGeom>
                        </pic:spPr>
                      </pic:pic>
                    </a:graphicData>
                  </a:graphic>
                </wp:inline>
              </w:drawing>
            </w:r>
          </w:p>
          <w:p w14:paraId="12F2B5B6" w14:textId="77777777" w:rsidR="00A06DE5" w:rsidRDefault="00A06DE5" w:rsidP="00A06DE5">
            <w:pPr>
              <w:jc w:val="center"/>
              <w:rPr>
                <w:sz w:val="22"/>
              </w:rPr>
            </w:pPr>
          </w:p>
        </w:tc>
      </w:tr>
    </w:tbl>
    <w:p w14:paraId="031DC767" w14:textId="77777777" w:rsidR="00926A76" w:rsidRDefault="00926A76" w:rsidP="00926A76">
      <w:pPr>
        <w:rPr>
          <w:sz w:val="22"/>
        </w:rPr>
      </w:pPr>
    </w:p>
    <w:tbl>
      <w:tblPr>
        <w:tblStyle w:val="Grilledutableau"/>
        <w:tblW w:w="0" w:type="auto"/>
        <w:tblLook w:val="04A0" w:firstRow="1" w:lastRow="0" w:firstColumn="1" w:lastColumn="0" w:noHBand="0" w:noVBand="1"/>
      </w:tblPr>
      <w:tblGrid>
        <w:gridCol w:w="9062"/>
      </w:tblGrid>
      <w:tr w:rsidR="00926A76" w14:paraId="5247E0D7" w14:textId="77777777" w:rsidTr="00360000">
        <w:trPr>
          <w:trHeight w:val="3658"/>
        </w:trPr>
        <w:tc>
          <w:tcPr>
            <w:tcW w:w="9062" w:type="dxa"/>
          </w:tcPr>
          <w:p w14:paraId="28777144" w14:textId="77777777" w:rsidR="00926A76" w:rsidRDefault="00926A76" w:rsidP="00533C04">
            <w:pPr>
              <w:rPr>
                <w:b/>
                <w:sz w:val="22"/>
              </w:rPr>
            </w:pPr>
          </w:p>
          <w:p w14:paraId="0941160D" w14:textId="77777777" w:rsidR="00926A76" w:rsidRDefault="00926A76" w:rsidP="00533C04">
            <w:pPr>
              <w:autoSpaceDE w:val="0"/>
              <w:autoSpaceDN w:val="0"/>
              <w:adjustRightInd w:val="0"/>
              <w:rPr>
                <w:rFonts w:cs="Calibri"/>
                <w:sz w:val="22"/>
                <w:szCs w:val="22"/>
              </w:rPr>
            </w:pPr>
            <w:r w:rsidRPr="00A77F9F">
              <w:rPr>
                <w:b/>
                <w:sz w:val="22"/>
                <w:szCs w:val="22"/>
              </w:rPr>
              <w:t>Document</w:t>
            </w:r>
            <w:r w:rsidRPr="00A77F9F">
              <w:rPr>
                <w:sz w:val="22"/>
                <w:szCs w:val="22"/>
              </w:rPr>
              <w:t xml:space="preserve"> </w:t>
            </w:r>
            <w:r w:rsidR="00530500">
              <w:rPr>
                <w:b/>
                <w:sz w:val="22"/>
                <w:szCs w:val="22"/>
              </w:rPr>
              <w:t>8</w:t>
            </w:r>
            <w:r w:rsidRPr="00A77F9F">
              <w:rPr>
                <w:b/>
                <w:sz w:val="22"/>
                <w:szCs w:val="22"/>
              </w:rPr>
              <w:t xml:space="preserve"> </w:t>
            </w:r>
            <w:r w:rsidRPr="00A77F9F">
              <w:rPr>
                <w:sz w:val="22"/>
                <w:szCs w:val="22"/>
              </w:rPr>
              <w:t>:</w:t>
            </w:r>
            <w:r>
              <w:rPr>
                <w:sz w:val="22"/>
                <w:szCs w:val="22"/>
              </w:rPr>
              <w:t xml:space="preserve"> </w:t>
            </w:r>
            <w:r w:rsidR="00A42D7A">
              <w:rPr>
                <w:sz w:val="22"/>
                <w:szCs w:val="22"/>
              </w:rPr>
              <w:t xml:space="preserve">Mise en place progressive </w:t>
            </w:r>
            <w:r w:rsidR="00650DF3">
              <w:rPr>
                <w:sz w:val="22"/>
                <w:szCs w:val="22"/>
              </w:rPr>
              <w:t xml:space="preserve">du </w:t>
            </w:r>
            <w:r w:rsidR="00A42D7A">
              <w:rPr>
                <w:sz w:val="22"/>
                <w:szCs w:val="22"/>
              </w:rPr>
              <w:t xml:space="preserve">microbiote </w:t>
            </w:r>
            <w:r w:rsidR="001B613F">
              <w:rPr>
                <w:sz w:val="22"/>
                <w:szCs w:val="22"/>
              </w:rPr>
              <w:t xml:space="preserve">intestinal </w:t>
            </w:r>
            <w:r w:rsidR="00650DF3">
              <w:rPr>
                <w:sz w:val="22"/>
                <w:szCs w:val="22"/>
              </w:rPr>
              <w:t xml:space="preserve">chez le </w:t>
            </w:r>
            <w:r w:rsidR="00A42D7A">
              <w:rPr>
                <w:sz w:val="22"/>
                <w:szCs w:val="22"/>
              </w:rPr>
              <w:t>no</w:t>
            </w:r>
            <w:r w:rsidR="00F06413">
              <w:rPr>
                <w:sz w:val="22"/>
                <w:szCs w:val="22"/>
              </w:rPr>
              <w:t>uveau-né</w:t>
            </w:r>
          </w:p>
          <w:p w14:paraId="20F79AC2" w14:textId="77777777" w:rsidR="00926A76" w:rsidRPr="00AA0BD5" w:rsidRDefault="00926A76" w:rsidP="00533C04">
            <w:pPr>
              <w:rPr>
                <w:sz w:val="20"/>
              </w:rPr>
            </w:pPr>
            <w:r w:rsidRPr="00AA0BD5">
              <w:rPr>
                <w:sz w:val="20"/>
              </w:rPr>
              <w:t xml:space="preserve">Source : </w:t>
            </w:r>
            <w:hyperlink r:id="rId21" w:history="1">
              <w:r w:rsidR="00FC5109">
                <w:rPr>
                  <w:rStyle w:val="Lienhypertexte"/>
                  <w:sz w:val="20"/>
                </w:rPr>
                <w:t>Suárez-</w:t>
              </w:r>
              <w:proofErr w:type="spellStart"/>
              <w:r w:rsidR="00FC5109">
                <w:rPr>
                  <w:rStyle w:val="Lienhypertexte"/>
                  <w:sz w:val="20"/>
                </w:rPr>
                <w:t>Martínez</w:t>
              </w:r>
              <w:proofErr w:type="spellEnd"/>
              <w:r w:rsidR="00FC5109">
                <w:rPr>
                  <w:rStyle w:val="Lienhypertexte"/>
                  <w:sz w:val="20"/>
                </w:rPr>
                <w:t xml:space="preserve"> </w:t>
              </w:r>
              <w:r w:rsidR="00FC5109" w:rsidRPr="00FC5109">
                <w:rPr>
                  <w:rStyle w:val="Lienhypertexte"/>
                  <w:i/>
                  <w:sz w:val="20"/>
                </w:rPr>
                <w:t>et al.</w:t>
              </w:r>
              <w:r w:rsidR="00FC5109">
                <w:rPr>
                  <w:rStyle w:val="Lienhypertexte"/>
                  <w:sz w:val="20"/>
                </w:rPr>
                <w:t xml:space="preserve"> </w:t>
              </w:r>
              <w:r w:rsidR="00FC5109" w:rsidRPr="00FC5109">
                <w:rPr>
                  <w:rStyle w:val="Lienhypertexte"/>
                  <w:sz w:val="20"/>
                  <w:lang w:val="en-US"/>
                </w:rPr>
                <w:t xml:space="preserve">(2023) Infant gut microbiota colonization: influence of prenatal and postnatal factors, focusing on diet. </w:t>
              </w:r>
              <w:r w:rsidR="00FC5109">
                <w:rPr>
                  <w:rStyle w:val="Lienhypertexte"/>
                  <w:sz w:val="20"/>
                </w:rPr>
                <w:t xml:space="preserve">Front. </w:t>
              </w:r>
              <w:proofErr w:type="spellStart"/>
              <w:r w:rsidR="00FC5109">
                <w:rPr>
                  <w:rStyle w:val="Lienhypertexte"/>
                  <w:sz w:val="20"/>
                </w:rPr>
                <w:t>Microbiol</w:t>
              </w:r>
              <w:proofErr w:type="spellEnd"/>
              <w:r w:rsidR="00FC5109">
                <w:rPr>
                  <w:rStyle w:val="Lienhypertexte"/>
                  <w:sz w:val="20"/>
                </w:rPr>
                <w:t xml:space="preserve">. </w:t>
              </w:r>
              <w:proofErr w:type="gramStart"/>
              <w:r w:rsidR="00FC5109">
                <w:rPr>
                  <w:rStyle w:val="Lienhypertexte"/>
                  <w:sz w:val="20"/>
                </w:rPr>
                <w:t>14:</w:t>
              </w:r>
              <w:proofErr w:type="gramEnd"/>
              <w:r w:rsidR="00FC5109">
                <w:rPr>
                  <w:rStyle w:val="Lienhypertexte"/>
                  <w:sz w:val="20"/>
                </w:rPr>
                <w:t>1236254</w:t>
              </w:r>
            </w:hyperlink>
            <w:r w:rsidR="00FC5109">
              <w:rPr>
                <w:sz w:val="20"/>
              </w:rPr>
              <w:t xml:space="preserve"> </w:t>
            </w:r>
          </w:p>
          <w:p w14:paraId="55F8DA7E" w14:textId="77777777" w:rsidR="00926A76" w:rsidRDefault="00926A76" w:rsidP="00533C04">
            <w:pPr>
              <w:rPr>
                <w:b/>
                <w:sz w:val="22"/>
              </w:rPr>
            </w:pPr>
          </w:p>
          <w:p w14:paraId="46E301B1" w14:textId="77777777" w:rsidR="00926A76" w:rsidRDefault="00F06413" w:rsidP="00533C04">
            <w:pPr>
              <w:rPr>
                <w:sz w:val="22"/>
              </w:rPr>
            </w:pPr>
            <w:r>
              <w:rPr>
                <w:noProof/>
                <w:sz w:val="22"/>
              </w:rPr>
              <w:drawing>
                <wp:inline distT="0" distB="0" distL="0" distR="0" wp14:anchorId="4F6E0955" wp14:editId="4B68DE57">
                  <wp:extent cx="5620159" cy="1379640"/>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ise_en_place_microbiote.PNG"/>
                          <pic:cNvPicPr/>
                        </pic:nvPicPr>
                        <pic:blipFill>
                          <a:blip r:embed="rId22">
                            <a:extLst>
                              <a:ext uri="{28A0092B-C50C-407E-A947-70E740481C1C}">
                                <a14:useLocalDpi xmlns:a14="http://schemas.microsoft.com/office/drawing/2010/main" val="0"/>
                              </a:ext>
                            </a:extLst>
                          </a:blip>
                          <a:stretch>
                            <a:fillRect/>
                          </a:stretch>
                        </pic:blipFill>
                        <pic:spPr>
                          <a:xfrm>
                            <a:off x="0" y="0"/>
                            <a:ext cx="5636707" cy="1383702"/>
                          </a:xfrm>
                          <a:prstGeom prst="rect">
                            <a:avLst/>
                          </a:prstGeom>
                        </pic:spPr>
                      </pic:pic>
                    </a:graphicData>
                  </a:graphic>
                </wp:inline>
              </w:drawing>
            </w:r>
          </w:p>
          <w:p w14:paraId="0DC4CF0D" w14:textId="77777777" w:rsidR="00F06413" w:rsidRDefault="0040271D" w:rsidP="00533C04">
            <w:pPr>
              <w:rPr>
                <w:sz w:val="22"/>
              </w:rPr>
            </w:pPr>
            <w:r>
              <w:rPr>
                <w:sz w:val="22"/>
              </w:rPr>
              <w:t>Principales bactéries présentes dans l’intestin après la naissance.</w:t>
            </w:r>
          </w:p>
        </w:tc>
      </w:tr>
    </w:tbl>
    <w:p w14:paraId="332EA164" w14:textId="4C458AB2" w:rsidR="00836F18" w:rsidRDefault="00836F18" w:rsidP="00926A76">
      <w:pPr>
        <w:rPr>
          <w:b/>
          <w:sz w:val="22"/>
        </w:rPr>
      </w:pPr>
      <w:bookmarkStart w:id="0" w:name="_GoBack"/>
      <w:bookmarkEnd w:id="0"/>
      <w:r>
        <w:rPr>
          <w:b/>
          <w:sz w:val="22"/>
        </w:rPr>
        <w:br w:type="page"/>
      </w:r>
    </w:p>
    <w:p w14:paraId="4CB54647" w14:textId="73735C05" w:rsidR="00B013DE" w:rsidRDefault="00B013DE" w:rsidP="00B013DE">
      <w:pPr>
        <w:pBdr>
          <w:bottom w:val="single" w:sz="4" w:space="1" w:color="auto"/>
        </w:pBdr>
        <w:shd w:val="clear" w:color="auto" w:fill="8DB3E2" w:themeFill="text2" w:themeFillTint="66"/>
        <w:spacing w:after="120" w:line="240" w:lineRule="auto"/>
        <w:rPr>
          <w:b/>
          <w:sz w:val="22"/>
        </w:rPr>
      </w:pPr>
      <w:r w:rsidRPr="002E480A">
        <w:rPr>
          <w:b/>
          <w:sz w:val="22"/>
        </w:rPr>
        <w:lastRenderedPageBreak/>
        <w:t>Résultats</w:t>
      </w:r>
      <w:r>
        <w:rPr>
          <w:b/>
          <w:sz w:val="22"/>
        </w:rPr>
        <w:t xml:space="preserve"> </w:t>
      </w:r>
      <w:r w:rsidR="00E10903">
        <w:rPr>
          <w:b/>
          <w:sz w:val="22"/>
        </w:rPr>
        <w:t>de l’</w:t>
      </w:r>
      <w:r>
        <w:rPr>
          <w:b/>
          <w:sz w:val="22"/>
        </w:rPr>
        <w:t>activité 2</w:t>
      </w:r>
    </w:p>
    <w:p w14:paraId="27CA9C82" w14:textId="6B5EB40A" w:rsidR="00745B42" w:rsidRDefault="005A4065" w:rsidP="00B013DE">
      <w:pPr>
        <w:autoSpaceDE w:val="0"/>
        <w:autoSpaceDN w:val="0"/>
        <w:adjustRightInd w:val="0"/>
        <w:spacing w:line="240" w:lineRule="auto"/>
        <w:rPr>
          <w:bCs/>
          <w:sz w:val="22"/>
          <w:szCs w:val="22"/>
        </w:rPr>
      </w:pPr>
      <w:r>
        <w:rPr>
          <w:bCs/>
          <w:sz w:val="22"/>
          <w:szCs w:val="22"/>
        </w:rPr>
        <w:t>La jaunisse correspond à l’accumulation de bilirubine dans le sang</w:t>
      </w:r>
      <w:r w:rsidR="00706DBD">
        <w:rPr>
          <w:bCs/>
          <w:sz w:val="22"/>
          <w:szCs w:val="22"/>
        </w:rPr>
        <w:t>, ce qui peut avoir des conséquences graves sur la santé</w:t>
      </w:r>
      <w:r>
        <w:rPr>
          <w:bCs/>
          <w:sz w:val="22"/>
          <w:szCs w:val="22"/>
        </w:rPr>
        <w:t xml:space="preserve"> (document 6). Or elle est très fréquente chez les </w:t>
      </w:r>
      <w:r w:rsidR="009D126E">
        <w:rPr>
          <w:bCs/>
          <w:sz w:val="22"/>
          <w:szCs w:val="22"/>
        </w:rPr>
        <w:t>nouveau-nés</w:t>
      </w:r>
      <w:r>
        <w:rPr>
          <w:bCs/>
          <w:sz w:val="22"/>
          <w:szCs w:val="22"/>
        </w:rPr>
        <w:t xml:space="preserve">, en particulier durant les deux premiers mois </w:t>
      </w:r>
      <w:r w:rsidR="00706DBD">
        <w:rPr>
          <w:bCs/>
          <w:sz w:val="22"/>
          <w:szCs w:val="22"/>
        </w:rPr>
        <w:t xml:space="preserve">de la vie </w:t>
      </w:r>
      <w:r>
        <w:rPr>
          <w:bCs/>
          <w:sz w:val="22"/>
          <w:szCs w:val="22"/>
        </w:rPr>
        <w:t>(document 7)</w:t>
      </w:r>
      <w:r w:rsidR="00706DBD">
        <w:rPr>
          <w:bCs/>
          <w:sz w:val="22"/>
          <w:szCs w:val="22"/>
        </w:rPr>
        <w:t>. Cette période de jaunisse correspond au moment où la majorité des nourrissons (50 à 80%) ne présentent pas d’activité de l’enzyme bilirubine réductase. Or l’activité 1 a montré que cette enzyme est produite par des bactéries du microbiote intestinal. On peut donc supposer que le</w:t>
      </w:r>
      <w:r w:rsidR="00745B42">
        <w:rPr>
          <w:bCs/>
          <w:sz w:val="22"/>
          <w:szCs w:val="22"/>
        </w:rPr>
        <w:t xml:space="preserve">s </w:t>
      </w:r>
      <w:r w:rsidR="00706DBD">
        <w:rPr>
          <w:bCs/>
          <w:sz w:val="22"/>
          <w:szCs w:val="22"/>
        </w:rPr>
        <w:t>bactéries productrices de bilirubine réductase ne sont pas encore prés</w:t>
      </w:r>
      <w:r w:rsidR="00745B42">
        <w:rPr>
          <w:bCs/>
          <w:sz w:val="22"/>
          <w:szCs w:val="22"/>
        </w:rPr>
        <w:t>en</w:t>
      </w:r>
      <w:r w:rsidR="00706DBD">
        <w:rPr>
          <w:bCs/>
          <w:sz w:val="22"/>
          <w:szCs w:val="22"/>
        </w:rPr>
        <w:t>tes ou actives dans l’intestin du nouveau-né, entrainant ainsi l’accumulation de bilirubi</w:t>
      </w:r>
      <w:r w:rsidR="00745B42">
        <w:rPr>
          <w:bCs/>
          <w:sz w:val="22"/>
          <w:szCs w:val="22"/>
        </w:rPr>
        <w:t>ne</w:t>
      </w:r>
      <w:r w:rsidR="00706DBD">
        <w:rPr>
          <w:bCs/>
          <w:sz w:val="22"/>
          <w:szCs w:val="22"/>
        </w:rPr>
        <w:t xml:space="preserve"> </w:t>
      </w:r>
      <w:r w:rsidR="00745B42">
        <w:rPr>
          <w:bCs/>
          <w:sz w:val="22"/>
          <w:szCs w:val="22"/>
        </w:rPr>
        <w:t>responsable</w:t>
      </w:r>
      <w:r w:rsidR="00706DBD">
        <w:rPr>
          <w:bCs/>
          <w:sz w:val="22"/>
          <w:szCs w:val="22"/>
        </w:rPr>
        <w:t xml:space="preserve"> de la jaunisse. </w:t>
      </w:r>
    </w:p>
    <w:p w14:paraId="77A111C2" w14:textId="40976D83" w:rsidR="00B013DE" w:rsidRPr="005A4065" w:rsidRDefault="00745B42" w:rsidP="00B013DE">
      <w:pPr>
        <w:autoSpaceDE w:val="0"/>
        <w:autoSpaceDN w:val="0"/>
        <w:adjustRightInd w:val="0"/>
        <w:spacing w:line="240" w:lineRule="auto"/>
        <w:rPr>
          <w:rFonts w:cs="Calibri"/>
          <w:bCs/>
          <w:sz w:val="22"/>
          <w:szCs w:val="22"/>
        </w:rPr>
      </w:pPr>
      <w:r>
        <w:rPr>
          <w:bCs/>
          <w:sz w:val="22"/>
          <w:szCs w:val="22"/>
        </w:rPr>
        <w:t xml:space="preserve">Ceci est confirmé par l’étude du document 8 : c’est lors de la diversification de l’alimentation, après 4 mois, que la composition du microbiote se met à ressembler à celle de l’adulte, étant composée de </w:t>
      </w:r>
      <w:r w:rsidRPr="009D126E">
        <w:rPr>
          <w:bCs/>
          <w:i/>
          <w:iCs/>
          <w:sz w:val="22"/>
          <w:szCs w:val="22"/>
        </w:rPr>
        <w:t>Firmicutes</w:t>
      </w:r>
      <w:r>
        <w:rPr>
          <w:bCs/>
          <w:sz w:val="22"/>
          <w:szCs w:val="22"/>
        </w:rPr>
        <w:t xml:space="preserve"> et de </w:t>
      </w:r>
      <w:proofErr w:type="spellStart"/>
      <w:r w:rsidRPr="009D126E">
        <w:rPr>
          <w:bCs/>
          <w:i/>
          <w:iCs/>
          <w:sz w:val="22"/>
          <w:szCs w:val="22"/>
        </w:rPr>
        <w:t>Bacteroidetes</w:t>
      </w:r>
      <w:proofErr w:type="spellEnd"/>
      <w:r>
        <w:rPr>
          <w:bCs/>
          <w:sz w:val="22"/>
          <w:szCs w:val="22"/>
        </w:rPr>
        <w:t xml:space="preserve"> </w:t>
      </w:r>
      <w:r w:rsidR="009D126E">
        <w:rPr>
          <w:bCs/>
          <w:sz w:val="22"/>
          <w:szCs w:val="22"/>
        </w:rPr>
        <w:t>(cf.</w:t>
      </w:r>
      <w:r>
        <w:rPr>
          <w:bCs/>
          <w:sz w:val="22"/>
          <w:szCs w:val="22"/>
        </w:rPr>
        <w:t xml:space="preserve"> document 4</w:t>
      </w:r>
      <w:r w:rsidR="009D126E">
        <w:rPr>
          <w:bCs/>
          <w:sz w:val="22"/>
          <w:szCs w:val="22"/>
        </w:rPr>
        <w:t>)</w:t>
      </w:r>
      <w:r>
        <w:rPr>
          <w:bCs/>
          <w:sz w:val="22"/>
          <w:szCs w:val="22"/>
        </w:rPr>
        <w:t xml:space="preserve">. Or </w:t>
      </w:r>
      <w:r w:rsidR="009D126E">
        <w:rPr>
          <w:bCs/>
          <w:sz w:val="22"/>
          <w:szCs w:val="22"/>
        </w:rPr>
        <w:t xml:space="preserve">lors de l’activité 1 nous avons vu que ce sont les </w:t>
      </w:r>
      <w:r w:rsidR="009D126E" w:rsidRPr="009D126E">
        <w:rPr>
          <w:bCs/>
          <w:i/>
          <w:iCs/>
          <w:sz w:val="22"/>
          <w:szCs w:val="22"/>
        </w:rPr>
        <w:t>Firmicutes</w:t>
      </w:r>
      <w:r w:rsidR="009D126E">
        <w:rPr>
          <w:bCs/>
          <w:sz w:val="22"/>
          <w:szCs w:val="22"/>
        </w:rPr>
        <w:t xml:space="preserve"> qui</w:t>
      </w:r>
      <w:r>
        <w:rPr>
          <w:bCs/>
          <w:sz w:val="22"/>
          <w:szCs w:val="22"/>
        </w:rPr>
        <w:t xml:space="preserve"> </w:t>
      </w:r>
      <w:r w:rsidR="009D126E">
        <w:rPr>
          <w:bCs/>
          <w:sz w:val="22"/>
          <w:szCs w:val="22"/>
        </w:rPr>
        <w:t>produisent</w:t>
      </w:r>
      <w:r>
        <w:rPr>
          <w:bCs/>
          <w:sz w:val="22"/>
          <w:szCs w:val="22"/>
        </w:rPr>
        <w:t xml:space="preserve"> l’enzyme bilirubine </w:t>
      </w:r>
      <w:r w:rsidR="009D126E">
        <w:rPr>
          <w:bCs/>
          <w:sz w:val="22"/>
          <w:szCs w:val="22"/>
        </w:rPr>
        <w:t>réductase</w:t>
      </w:r>
      <w:r>
        <w:rPr>
          <w:bCs/>
          <w:sz w:val="22"/>
          <w:szCs w:val="22"/>
        </w:rPr>
        <w:t xml:space="preserve">. Ceci est cohérent avec </w:t>
      </w:r>
      <w:r w:rsidR="00E951E2">
        <w:rPr>
          <w:bCs/>
          <w:sz w:val="22"/>
          <w:szCs w:val="22"/>
        </w:rPr>
        <w:t>le document 7 qui montre qu’à partir du cinquième mois, moins de 20% des enfants sont dépourvus de bilirubine réductase.</w:t>
      </w:r>
    </w:p>
    <w:p w14:paraId="79334226" w14:textId="06899735" w:rsidR="00B013DE" w:rsidRDefault="00E951E2" w:rsidP="00B013DE">
      <w:pPr>
        <w:autoSpaceDE w:val="0"/>
        <w:autoSpaceDN w:val="0"/>
        <w:adjustRightInd w:val="0"/>
        <w:spacing w:line="240" w:lineRule="auto"/>
        <w:rPr>
          <w:rFonts w:cs="Calibri"/>
          <w:sz w:val="22"/>
          <w:szCs w:val="22"/>
        </w:rPr>
      </w:pPr>
      <w:r>
        <w:rPr>
          <w:rFonts w:cs="Calibri"/>
          <w:sz w:val="22"/>
          <w:szCs w:val="22"/>
        </w:rPr>
        <w:t xml:space="preserve">Pour récapituler, à la naissance les bactéries colonisent l’intestin du nouveau-né. Mais les premières bactéries installées ne produisent pas, ou peu, de bilirubine réductase. De ce fait la bilirubine rejetée par le foie dans l’intestin n’est pas détruite et elle retourne dans le sang où elle s’accumule, entrainant une jaunisse. La composition du microbiote change au cours du temps, en lien avec l’alimentation. Après 4 mois, de nombreuses bactéries </w:t>
      </w:r>
      <w:r w:rsidRPr="009D126E">
        <w:rPr>
          <w:rFonts w:cs="Calibri"/>
          <w:i/>
          <w:iCs/>
          <w:sz w:val="22"/>
          <w:szCs w:val="22"/>
        </w:rPr>
        <w:t>Firmicutes</w:t>
      </w:r>
      <w:r>
        <w:rPr>
          <w:rFonts w:cs="Calibri"/>
          <w:sz w:val="22"/>
          <w:szCs w:val="22"/>
        </w:rPr>
        <w:t xml:space="preserve"> ont colonisé l’intestin et produisent </w:t>
      </w:r>
      <w:r>
        <w:rPr>
          <w:bCs/>
          <w:sz w:val="22"/>
          <w:szCs w:val="22"/>
        </w:rPr>
        <w:t xml:space="preserve">l’enzyme bilirubine </w:t>
      </w:r>
      <w:r w:rsidR="009D126E">
        <w:rPr>
          <w:bCs/>
          <w:sz w:val="22"/>
          <w:szCs w:val="22"/>
        </w:rPr>
        <w:t>réductase</w:t>
      </w:r>
      <w:r>
        <w:rPr>
          <w:bCs/>
          <w:sz w:val="22"/>
          <w:szCs w:val="22"/>
        </w:rPr>
        <w:t>, ce qui permet l’élimination de la bilirubine et évite les jaunisses.</w:t>
      </w:r>
      <w:r w:rsidR="009D126E">
        <w:rPr>
          <w:bCs/>
          <w:sz w:val="22"/>
          <w:szCs w:val="22"/>
        </w:rPr>
        <w:t xml:space="preserve"> La bilirubine est ainsi maintenue à un taux bas dans le sang, à une concentration où elle est bénéfique pour la santé</w:t>
      </w:r>
      <w:r w:rsidR="000067A2">
        <w:rPr>
          <w:bCs/>
          <w:sz w:val="22"/>
          <w:szCs w:val="22"/>
        </w:rPr>
        <w:t xml:space="preserve"> (action antioxydante)</w:t>
      </w:r>
      <w:r w:rsidR="009D126E">
        <w:rPr>
          <w:bCs/>
          <w:sz w:val="22"/>
          <w:szCs w:val="22"/>
        </w:rPr>
        <w:t>.</w:t>
      </w:r>
    </w:p>
    <w:p w14:paraId="66407C6B" w14:textId="77777777" w:rsidR="00836F18" w:rsidRDefault="00836F18" w:rsidP="00EB798F">
      <w:pPr>
        <w:widowControl w:val="0"/>
        <w:spacing w:afterLines="60" w:after="144" w:line="240" w:lineRule="auto"/>
        <w:rPr>
          <w:rFonts w:cs="Arial"/>
          <w:snapToGrid w:val="0"/>
          <w:sz w:val="22"/>
        </w:rPr>
      </w:pPr>
    </w:p>
    <w:p w14:paraId="178C7AF9" w14:textId="77777777" w:rsidR="003945EC" w:rsidRDefault="003945EC" w:rsidP="00EB798F">
      <w:pPr>
        <w:autoSpaceDE w:val="0"/>
        <w:autoSpaceDN w:val="0"/>
        <w:adjustRightInd w:val="0"/>
        <w:spacing w:line="240" w:lineRule="auto"/>
        <w:rPr>
          <w:rFonts w:cs="Calibri"/>
          <w:sz w:val="22"/>
          <w:szCs w:val="22"/>
        </w:rPr>
      </w:pPr>
    </w:p>
    <w:p w14:paraId="035660F4" w14:textId="77777777" w:rsidR="00D26BEF" w:rsidRPr="002E480A" w:rsidRDefault="00D26BEF" w:rsidP="00D26BEF">
      <w:pPr>
        <w:pBdr>
          <w:bottom w:val="single" w:sz="4" w:space="1" w:color="auto"/>
        </w:pBdr>
        <w:shd w:val="clear" w:color="auto" w:fill="8DB3E2" w:themeFill="text2" w:themeFillTint="66"/>
        <w:spacing w:after="120" w:line="240" w:lineRule="auto"/>
        <w:rPr>
          <w:b/>
          <w:sz w:val="22"/>
        </w:rPr>
      </w:pPr>
      <w:r w:rsidRPr="002E480A">
        <w:rPr>
          <w:b/>
          <w:sz w:val="22"/>
        </w:rPr>
        <w:t>R</w:t>
      </w:r>
      <w:r>
        <w:rPr>
          <w:b/>
          <w:sz w:val="22"/>
        </w:rPr>
        <w:t>essource</w:t>
      </w:r>
      <w:r w:rsidR="00A4365E">
        <w:rPr>
          <w:b/>
          <w:sz w:val="22"/>
        </w:rPr>
        <w:t>s</w:t>
      </w:r>
      <w:r>
        <w:rPr>
          <w:b/>
          <w:sz w:val="22"/>
        </w:rPr>
        <w:t xml:space="preserve"> complémentaire</w:t>
      </w:r>
      <w:r w:rsidR="00A4365E">
        <w:rPr>
          <w:b/>
          <w:sz w:val="22"/>
        </w:rPr>
        <w:t>s</w:t>
      </w:r>
    </w:p>
    <w:p w14:paraId="31B98873" w14:textId="77777777" w:rsidR="00D16459" w:rsidRPr="00A77F9F" w:rsidRDefault="00D16459" w:rsidP="00D16459">
      <w:pPr>
        <w:rPr>
          <w:sz w:val="16"/>
        </w:rPr>
      </w:pPr>
    </w:p>
    <w:tbl>
      <w:tblPr>
        <w:tblStyle w:val="Grilledutableau"/>
        <w:tblW w:w="0" w:type="auto"/>
        <w:tblLook w:val="04A0" w:firstRow="1" w:lastRow="0" w:firstColumn="1" w:lastColumn="0" w:noHBand="0" w:noVBand="1"/>
      </w:tblPr>
      <w:tblGrid>
        <w:gridCol w:w="9062"/>
      </w:tblGrid>
      <w:tr w:rsidR="00D16459" w14:paraId="1726F11B" w14:textId="77777777" w:rsidTr="00533C04">
        <w:tc>
          <w:tcPr>
            <w:tcW w:w="9212" w:type="dxa"/>
          </w:tcPr>
          <w:p w14:paraId="35B47740" w14:textId="4D011E2D" w:rsidR="00D16459" w:rsidRDefault="00D16459" w:rsidP="00D16459">
            <w:pPr>
              <w:rPr>
                <w:sz w:val="22"/>
              </w:rPr>
            </w:pPr>
            <w:r w:rsidRPr="00A77F9F">
              <w:rPr>
                <w:b/>
                <w:sz w:val="22"/>
                <w:szCs w:val="22"/>
              </w:rPr>
              <w:t>Document</w:t>
            </w:r>
            <w:r w:rsidRPr="00A77F9F">
              <w:rPr>
                <w:sz w:val="22"/>
                <w:szCs w:val="22"/>
              </w:rPr>
              <w:t xml:space="preserve"> </w:t>
            </w:r>
            <w:r w:rsidR="00336C8D">
              <w:rPr>
                <w:b/>
                <w:sz w:val="22"/>
                <w:szCs w:val="22"/>
              </w:rPr>
              <w:t>9</w:t>
            </w:r>
            <w:r w:rsidRPr="00A77F9F">
              <w:rPr>
                <w:b/>
                <w:sz w:val="22"/>
                <w:szCs w:val="22"/>
              </w:rPr>
              <w:t xml:space="preserve"> </w:t>
            </w:r>
            <w:r w:rsidRPr="00A77F9F">
              <w:rPr>
                <w:sz w:val="22"/>
                <w:szCs w:val="22"/>
              </w:rPr>
              <w:t>:</w:t>
            </w:r>
            <w:r>
              <w:rPr>
                <w:sz w:val="22"/>
                <w:szCs w:val="22"/>
              </w:rPr>
              <w:t xml:space="preserve"> </w:t>
            </w:r>
            <w:r>
              <w:rPr>
                <w:sz w:val="22"/>
              </w:rPr>
              <w:t xml:space="preserve">Structure </w:t>
            </w:r>
            <w:r w:rsidR="00CB63EA">
              <w:rPr>
                <w:sz w:val="22"/>
              </w:rPr>
              <w:t>tridimensionnelle et activité de l’enzyme</w:t>
            </w:r>
            <w:r>
              <w:rPr>
                <w:sz w:val="22"/>
              </w:rPr>
              <w:t xml:space="preserve"> </w:t>
            </w:r>
            <w:proofErr w:type="spellStart"/>
            <w:r>
              <w:rPr>
                <w:sz w:val="22"/>
              </w:rPr>
              <w:t>bil</w:t>
            </w:r>
            <w:r w:rsidR="00CB63EA">
              <w:rPr>
                <w:sz w:val="22"/>
              </w:rPr>
              <w:t>R</w:t>
            </w:r>
            <w:proofErr w:type="spellEnd"/>
            <w:r>
              <w:rPr>
                <w:sz w:val="22"/>
              </w:rPr>
              <w:t xml:space="preserve"> </w:t>
            </w:r>
          </w:p>
          <w:p w14:paraId="5B6235CA" w14:textId="77777777" w:rsidR="008C4F84" w:rsidRDefault="008C4F84" w:rsidP="008C4F84">
            <w:pPr>
              <w:autoSpaceDE w:val="0"/>
              <w:autoSpaceDN w:val="0"/>
              <w:adjustRightInd w:val="0"/>
              <w:rPr>
                <w:rFonts w:cs="Calibri"/>
                <w:sz w:val="22"/>
                <w:szCs w:val="22"/>
              </w:rPr>
            </w:pPr>
            <w:r w:rsidRPr="00530500">
              <w:rPr>
                <w:sz w:val="20"/>
                <w:lang w:val="en-US"/>
              </w:rPr>
              <w:t xml:space="preserve">Source : </w:t>
            </w:r>
            <w:hyperlink r:id="rId23" w:history="1">
              <w:r w:rsidRPr="006178A5">
                <w:rPr>
                  <w:rStyle w:val="Lienhypertexte"/>
                  <w:sz w:val="20"/>
                  <w:szCs w:val="20"/>
                  <w:lang w:val="en-US"/>
                </w:rPr>
                <w:t xml:space="preserve">Hall, B., Levy, S., Dufault-Thompson, K. et al. </w:t>
              </w:r>
              <w:proofErr w:type="spellStart"/>
              <w:r w:rsidRPr="00D26B08">
                <w:rPr>
                  <w:rStyle w:val="Lienhypertexte"/>
                  <w:sz w:val="20"/>
                  <w:szCs w:val="20"/>
                  <w:lang w:val="en-US"/>
                </w:rPr>
                <w:t>BilR</w:t>
              </w:r>
              <w:proofErr w:type="spellEnd"/>
              <w:r w:rsidRPr="00D26B08">
                <w:rPr>
                  <w:rStyle w:val="Lienhypertexte"/>
                  <w:sz w:val="20"/>
                  <w:szCs w:val="20"/>
                  <w:lang w:val="en-US"/>
                </w:rPr>
                <w:t xml:space="preserve"> is a gut microbial enzyme that reduces bilirubin to urobilinogen. </w:t>
              </w:r>
              <w:r w:rsidRPr="00D26B08">
                <w:rPr>
                  <w:rStyle w:val="Lienhypertexte"/>
                  <w:sz w:val="20"/>
                  <w:szCs w:val="20"/>
                </w:rPr>
                <w:t xml:space="preserve">Nat </w:t>
              </w:r>
              <w:proofErr w:type="spellStart"/>
              <w:r w:rsidRPr="00D26B08">
                <w:rPr>
                  <w:rStyle w:val="Lienhypertexte"/>
                  <w:sz w:val="20"/>
                  <w:szCs w:val="20"/>
                </w:rPr>
                <w:t>Microbiol</w:t>
              </w:r>
              <w:proofErr w:type="spellEnd"/>
              <w:r w:rsidRPr="00D26B08">
                <w:rPr>
                  <w:rStyle w:val="Lienhypertexte"/>
                  <w:sz w:val="20"/>
                  <w:szCs w:val="20"/>
                </w:rPr>
                <w:t xml:space="preserve"> 9, 173–184 (2024</w:t>
              </w:r>
            </w:hyperlink>
            <w:r w:rsidRPr="00014C6B">
              <w:rPr>
                <w:sz w:val="20"/>
                <w:szCs w:val="20"/>
              </w:rPr>
              <w:t>)</w:t>
            </w:r>
          </w:p>
          <w:p w14:paraId="607E407C" w14:textId="77777777" w:rsidR="00336C8D" w:rsidRDefault="00336C8D" w:rsidP="00D16459">
            <w:pPr>
              <w:autoSpaceDE w:val="0"/>
              <w:autoSpaceDN w:val="0"/>
              <w:adjustRightInd w:val="0"/>
              <w:rPr>
                <w:sz w:val="20"/>
                <w:szCs w:val="20"/>
              </w:rPr>
            </w:pPr>
          </w:p>
          <w:p w14:paraId="50879651" w14:textId="434AB6BA" w:rsidR="008C4F84" w:rsidRDefault="008C4F84" w:rsidP="00336C8D">
            <w:pPr>
              <w:rPr>
                <w:sz w:val="22"/>
                <w:szCs w:val="22"/>
              </w:rPr>
            </w:pPr>
            <w:r>
              <w:rPr>
                <w:sz w:val="22"/>
                <w:szCs w:val="22"/>
              </w:rPr>
              <w:t>L’étude de la structure de la bilirubine réductase a permis aux chercheurs d’identifier la localisation du site actif potentiel de l’enzyme. Pour confirmer cette localisation, ils ont généré une enzyme mutée, en remplaçant deux acides aminés du site actif : en position 166, l’acide aspartique ASP est substitué par une alanine ALA, et en position 167 l’arginine ARG est substituée par une alanine ALA.</w:t>
            </w:r>
          </w:p>
          <w:p w14:paraId="2A7F0B72" w14:textId="57E91110" w:rsidR="008C4F84" w:rsidRDefault="008C4F84" w:rsidP="00336C8D">
            <w:pPr>
              <w:rPr>
                <w:sz w:val="22"/>
                <w:szCs w:val="22"/>
              </w:rPr>
            </w:pPr>
            <w:r>
              <w:rPr>
                <w:sz w:val="22"/>
                <w:szCs w:val="22"/>
              </w:rPr>
              <w:t>L’activité des enzymes sauvage et mutée a ensuite été mesurée après transfert des gènes sauvage ou muté chez des bactéries.</w:t>
            </w:r>
          </w:p>
          <w:p w14:paraId="6AB745A9" w14:textId="77777777" w:rsidR="008C4F84" w:rsidRDefault="008C4F84" w:rsidP="00336C8D">
            <w:pPr>
              <w:rPr>
                <w:sz w:val="22"/>
                <w:szCs w:val="22"/>
              </w:rPr>
            </w:pPr>
          </w:p>
          <w:p w14:paraId="7C8072B6" w14:textId="603284C1" w:rsidR="008C4F84" w:rsidRDefault="008C4F84" w:rsidP="008C4F84">
            <w:pPr>
              <w:ind w:left="738"/>
              <w:rPr>
                <w:sz w:val="22"/>
                <w:szCs w:val="22"/>
              </w:rPr>
            </w:pPr>
            <w:r w:rsidRPr="008C4F84">
              <w:rPr>
                <w:noProof/>
                <w:sz w:val="22"/>
                <w:szCs w:val="22"/>
              </w:rPr>
              <w:lastRenderedPageBreak/>
              <w:drawing>
                <wp:inline distT="0" distB="0" distL="0" distR="0" wp14:anchorId="0D1BC01A" wp14:editId="2CE3B5DE">
                  <wp:extent cx="3383518" cy="2433209"/>
                  <wp:effectExtent l="0" t="0" r="7620" b="5715"/>
                  <wp:docPr id="171504773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5047732" name=""/>
                          <pic:cNvPicPr/>
                        </pic:nvPicPr>
                        <pic:blipFill>
                          <a:blip r:embed="rId24"/>
                          <a:stretch>
                            <a:fillRect/>
                          </a:stretch>
                        </pic:blipFill>
                        <pic:spPr>
                          <a:xfrm>
                            <a:off x="0" y="0"/>
                            <a:ext cx="3391584" cy="2439009"/>
                          </a:xfrm>
                          <a:prstGeom prst="rect">
                            <a:avLst/>
                          </a:prstGeom>
                        </pic:spPr>
                      </pic:pic>
                    </a:graphicData>
                  </a:graphic>
                </wp:inline>
              </w:drawing>
            </w:r>
          </w:p>
          <w:p w14:paraId="167847A9" w14:textId="69B76BC5" w:rsidR="008C4F84" w:rsidRDefault="008C4F84" w:rsidP="008C4F84">
            <w:pPr>
              <w:ind w:left="1305" w:right="1299"/>
              <w:jc w:val="center"/>
              <w:rPr>
                <w:sz w:val="22"/>
                <w:szCs w:val="22"/>
              </w:rPr>
            </w:pPr>
            <w:r>
              <w:rPr>
                <w:sz w:val="22"/>
                <w:szCs w:val="22"/>
              </w:rPr>
              <w:t>Le graphique représente les résultats (points) et les moyennes (histogrammes) pour 6 expériences indépendantes.</w:t>
            </w:r>
          </w:p>
          <w:p w14:paraId="066F8D2E" w14:textId="77777777" w:rsidR="008C4F84" w:rsidRDefault="008C4F84" w:rsidP="00336C8D">
            <w:pPr>
              <w:rPr>
                <w:sz w:val="22"/>
                <w:szCs w:val="22"/>
              </w:rPr>
            </w:pPr>
          </w:p>
          <w:p w14:paraId="7A94AFAB" w14:textId="601FAAB4" w:rsidR="00336C8D" w:rsidRPr="00336C8D" w:rsidRDefault="00336C8D" w:rsidP="00336C8D">
            <w:pPr>
              <w:rPr>
                <w:sz w:val="22"/>
                <w:szCs w:val="22"/>
              </w:rPr>
            </w:pPr>
            <w:r w:rsidRPr="00336C8D">
              <w:rPr>
                <w:sz w:val="22"/>
                <w:szCs w:val="22"/>
              </w:rPr>
              <w:t xml:space="preserve">Les structures 3D au </w:t>
            </w:r>
            <w:proofErr w:type="gramStart"/>
            <w:r w:rsidRPr="00336C8D">
              <w:rPr>
                <w:sz w:val="22"/>
                <w:szCs w:val="22"/>
              </w:rPr>
              <w:t>format .</w:t>
            </w:r>
            <w:proofErr w:type="spellStart"/>
            <w:r w:rsidRPr="00336C8D">
              <w:rPr>
                <w:sz w:val="22"/>
                <w:szCs w:val="22"/>
              </w:rPr>
              <w:t>cif</w:t>
            </w:r>
            <w:proofErr w:type="spellEnd"/>
            <w:proofErr w:type="gramEnd"/>
            <w:r w:rsidRPr="00336C8D">
              <w:rPr>
                <w:sz w:val="22"/>
                <w:szCs w:val="22"/>
              </w:rPr>
              <w:t xml:space="preserve"> </w:t>
            </w:r>
            <w:r w:rsidR="003B0E13">
              <w:rPr>
                <w:sz w:val="22"/>
                <w:szCs w:val="22"/>
              </w:rPr>
              <w:t xml:space="preserve">des enzymes sauvage et mutée </w:t>
            </w:r>
            <w:r w:rsidRPr="00336C8D">
              <w:rPr>
                <w:sz w:val="22"/>
                <w:szCs w:val="22"/>
              </w:rPr>
              <w:t>ont été gén</w:t>
            </w:r>
            <w:r>
              <w:rPr>
                <w:sz w:val="22"/>
                <w:szCs w:val="22"/>
              </w:rPr>
              <w:t>é</w:t>
            </w:r>
            <w:r w:rsidRPr="00336C8D">
              <w:rPr>
                <w:sz w:val="22"/>
                <w:szCs w:val="22"/>
              </w:rPr>
              <w:t>rée</w:t>
            </w:r>
            <w:r>
              <w:rPr>
                <w:sz w:val="22"/>
                <w:szCs w:val="22"/>
              </w:rPr>
              <w:t>s</w:t>
            </w:r>
            <w:r w:rsidRPr="00336C8D">
              <w:rPr>
                <w:sz w:val="22"/>
                <w:szCs w:val="22"/>
              </w:rPr>
              <w:t xml:space="preserve"> sur Alphafold3 </w:t>
            </w:r>
            <w:hyperlink r:id="rId25" w:history="1">
              <w:r w:rsidRPr="00336C8D">
                <w:rPr>
                  <w:rStyle w:val="Lienhypertexte"/>
                  <w:sz w:val="22"/>
                  <w:szCs w:val="22"/>
                </w:rPr>
                <w:t>https://alphafoldserver.com/</w:t>
              </w:r>
            </w:hyperlink>
            <w:r w:rsidRPr="00336C8D">
              <w:rPr>
                <w:sz w:val="22"/>
                <w:szCs w:val="22"/>
              </w:rPr>
              <w:t xml:space="preserve"> à partir de la séquence de référence</w:t>
            </w:r>
            <w:r>
              <w:rPr>
                <w:sz w:val="22"/>
                <w:szCs w:val="22"/>
              </w:rPr>
              <w:t xml:space="preserve"> de la bilirubine réductase </w:t>
            </w:r>
            <w:r w:rsidRPr="00336C8D">
              <w:rPr>
                <w:sz w:val="22"/>
                <w:szCs w:val="22"/>
              </w:rPr>
              <w:t xml:space="preserve">de </w:t>
            </w:r>
            <w:proofErr w:type="spellStart"/>
            <w:r w:rsidRPr="00336C8D">
              <w:rPr>
                <w:i/>
                <w:sz w:val="22"/>
                <w:szCs w:val="22"/>
              </w:rPr>
              <w:t>Ruminococcus</w:t>
            </w:r>
            <w:proofErr w:type="spellEnd"/>
            <w:r w:rsidRPr="00336C8D">
              <w:rPr>
                <w:i/>
                <w:sz w:val="22"/>
                <w:szCs w:val="22"/>
              </w:rPr>
              <w:t xml:space="preserve"> </w:t>
            </w:r>
            <w:proofErr w:type="spellStart"/>
            <w:r w:rsidRPr="00336C8D">
              <w:rPr>
                <w:i/>
                <w:sz w:val="22"/>
                <w:szCs w:val="22"/>
              </w:rPr>
              <w:t>gnavus</w:t>
            </w:r>
            <w:proofErr w:type="spellEnd"/>
            <w:r w:rsidRPr="00336C8D">
              <w:rPr>
                <w:sz w:val="22"/>
                <w:szCs w:val="22"/>
              </w:rPr>
              <w:t xml:space="preserve"> (appelée aussi </w:t>
            </w:r>
            <w:proofErr w:type="spellStart"/>
            <w:r w:rsidRPr="00336C8D">
              <w:rPr>
                <w:i/>
                <w:sz w:val="22"/>
                <w:szCs w:val="22"/>
              </w:rPr>
              <w:t>Mediterraneibacter</w:t>
            </w:r>
            <w:proofErr w:type="spellEnd"/>
            <w:r w:rsidRPr="00336C8D">
              <w:rPr>
                <w:i/>
                <w:sz w:val="22"/>
                <w:szCs w:val="22"/>
              </w:rPr>
              <w:t xml:space="preserve"> </w:t>
            </w:r>
            <w:proofErr w:type="spellStart"/>
            <w:r w:rsidRPr="00336C8D">
              <w:rPr>
                <w:i/>
                <w:sz w:val="22"/>
                <w:szCs w:val="22"/>
              </w:rPr>
              <w:t>gnavus</w:t>
            </w:r>
            <w:proofErr w:type="spellEnd"/>
            <w:r w:rsidRPr="00336C8D">
              <w:rPr>
                <w:sz w:val="22"/>
                <w:szCs w:val="22"/>
              </w:rPr>
              <w:t>)</w:t>
            </w:r>
            <w:r>
              <w:rPr>
                <w:sz w:val="22"/>
                <w:szCs w:val="22"/>
              </w:rPr>
              <w:t xml:space="preserve"> : </w:t>
            </w:r>
            <w:hyperlink r:id="rId26" w:history="1">
              <w:r w:rsidRPr="00336C8D">
                <w:rPr>
                  <w:rStyle w:val="Lienhypertexte"/>
                  <w:sz w:val="22"/>
                  <w:szCs w:val="22"/>
                </w:rPr>
                <w:t>https://www.ncbi.nlm.nih.gov/protein/748701889</w:t>
              </w:r>
            </w:hyperlink>
          </w:p>
          <w:p w14:paraId="5ADD8152" w14:textId="35242563" w:rsidR="00336C8D" w:rsidRDefault="00336C8D" w:rsidP="00336C8D">
            <w:pPr>
              <w:rPr>
                <w:sz w:val="22"/>
                <w:szCs w:val="22"/>
              </w:rPr>
            </w:pPr>
          </w:p>
          <w:p w14:paraId="0D70A797" w14:textId="7DF0DE9D" w:rsidR="008C4F84" w:rsidRPr="00336C8D" w:rsidRDefault="00F45B46" w:rsidP="00F45B46">
            <w:pPr>
              <w:jc w:val="center"/>
              <w:rPr>
                <w:sz w:val="22"/>
                <w:szCs w:val="22"/>
              </w:rPr>
            </w:pPr>
            <w:r w:rsidRPr="00F45B46">
              <w:rPr>
                <w:noProof/>
                <w:sz w:val="22"/>
                <w:szCs w:val="22"/>
              </w:rPr>
              <w:drawing>
                <wp:inline distT="0" distB="0" distL="0" distR="0" wp14:anchorId="1C991C02" wp14:editId="04D57A7A">
                  <wp:extent cx="4130702" cy="2849419"/>
                  <wp:effectExtent l="0" t="0" r="3175" b="8255"/>
                  <wp:docPr id="170102749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1027493" name=""/>
                          <pic:cNvPicPr/>
                        </pic:nvPicPr>
                        <pic:blipFill>
                          <a:blip r:embed="rId27"/>
                          <a:stretch>
                            <a:fillRect/>
                          </a:stretch>
                        </pic:blipFill>
                        <pic:spPr>
                          <a:xfrm>
                            <a:off x="0" y="0"/>
                            <a:ext cx="4136804" cy="2853628"/>
                          </a:xfrm>
                          <a:prstGeom prst="rect">
                            <a:avLst/>
                          </a:prstGeom>
                        </pic:spPr>
                      </pic:pic>
                    </a:graphicData>
                  </a:graphic>
                </wp:inline>
              </w:drawing>
            </w:r>
          </w:p>
          <w:p w14:paraId="674F9310" w14:textId="192EDF7D" w:rsidR="00D16459" w:rsidRPr="00336C8D" w:rsidRDefault="008C4F84" w:rsidP="008C4F84">
            <w:pPr>
              <w:autoSpaceDE w:val="0"/>
              <w:autoSpaceDN w:val="0"/>
              <w:adjustRightInd w:val="0"/>
              <w:jc w:val="center"/>
              <w:rPr>
                <w:sz w:val="22"/>
                <w:szCs w:val="22"/>
              </w:rPr>
            </w:pPr>
            <w:r>
              <w:rPr>
                <w:sz w:val="22"/>
                <w:szCs w:val="22"/>
              </w:rPr>
              <w:t xml:space="preserve">Mise en forme dans </w:t>
            </w:r>
            <w:hyperlink r:id="rId28" w:history="1">
              <w:proofErr w:type="spellStart"/>
              <w:r w:rsidRPr="008C4F84">
                <w:rPr>
                  <w:rStyle w:val="Lienhypertexte"/>
                  <w:sz w:val="22"/>
                  <w:szCs w:val="22"/>
                </w:rPr>
                <w:t>Libmol</w:t>
              </w:r>
              <w:proofErr w:type="spellEnd"/>
            </w:hyperlink>
            <w:r>
              <w:rPr>
                <w:sz w:val="22"/>
                <w:szCs w:val="22"/>
              </w:rPr>
              <w:t>.</w:t>
            </w:r>
          </w:p>
          <w:p w14:paraId="6A12080C" w14:textId="2695B09E" w:rsidR="003B0E13" w:rsidRDefault="003B0E13" w:rsidP="003B0E13">
            <w:pPr>
              <w:rPr>
                <w:sz w:val="20"/>
                <w:szCs w:val="20"/>
              </w:rPr>
            </w:pPr>
            <w:r w:rsidRPr="003B0E13">
              <w:rPr>
                <w:sz w:val="20"/>
                <w:szCs w:val="20"/>
              </w:rPr>
              <w:t>Référence des acides aminés pour mise en évidence du site actif : 21, 22, 23, 24, 56, 57, 58, 63, 65, 67, 96, 97, 98, 100, 101, 102, 127, 162, 164, 168, 25, 214, 250, 255, 256, 258, 260, 263</w:t>
            </w:r>
          </w:p>
          <w:p w14:paraId="7A99E592" w14:textId="77777777" w:rsidR="00F45B46" w:rsidRPr="003B0E13" w:rsidRDefault="00F45B46" w:rsidP="003B0E13">
            <w:pPr>
              <w:rPr>
                <w:sz w:val="20"/>
                <w:szCs w:val="20"/>
              </w:rPr>
            </w:pPr>
          </w:p>
          <w:p w14:paraId="20D36495" w14:textId="156A7E22" w:rsidR="00D16459" w:rsidRDefault="003B0E13" w:rsidP="008C4F84">
            <w:pPr>
              <w:rPr>
                <w:sz w:val="22"/>
              </w:rPr>
            </w:pPr>
            <w:r>
              <w:rPr>
                <w:sz w:val="22"/>
              </w:rPr>
              <w:t xml:space="preserve">Téléchargement des structures : </w:t>
            </w:r>
          </w:p>
          <w:p w14:paraId="5D421BE3" w14:textId="77777777" w:rsidR="003B0E13" w:rsidRDefault="003B0E13" w:rsidP="003B0E13">
            <w:pPr>
              <w:pStyle w:val="Paragraphedeliste"/>
              <w:numPr>
                <w:ilvl w:val="0"/>
                <w:numId w:val="32"/>
              </w:numPr>
              <w:rPr>
                <w:sz w:val="22"/>
              </w:rPr>
            </w:pPr>
            <w:proofErr w:type="spellStart"/>
            <w:r w:rsidRPr="003B0E13">
              <w:rPr>
                <w:b/>
                <w:bCs/>
                <w:sz w:val="22"/>
              </w:rPr>
              <w:t>bilR.cif</w:t>
            </w:r>
            <w:proofErr w:type="spellEnd"/>
            <w:r>
              <w:rPr>
                <w:sz w:val="22"/>
              </w:rPr>
              <w:t xml:space="preserve"> = enzyme sauvage</w:t>
            </w:r>
          </w:p>
          <w:p w14:paraId="3DED3C9A" w14:textId="77777777" w:rsidR="003B0E13" w:rsidRDefault="003B0E13" w:rsidP="003B0E13">
            <w:pPr>
              <w:pStyle w:val="Paragraphedeliste"/>
              <w:numPr>
                <w:ilvl w:val="0"/>
                <w:numId w:val="32"/>
              </w:numPr>
              <w:rPr>
                <w:sz w:val="22"/>
              </w:rPr>
            </w:pPr>
            <w:proofErr w:type="gramStart"/>
            <w:r w:rsidRPr="003B0E13">
              <w:rPr>
                <w:b/>
                <w:bCs/>
                <w:sz w:val="22"/>
              </w:rPr>
              <w:t>bil</w:t>
            </w:r>
            <w:r>
              <w:rPr>
                <w:b/>
                <w:bCs/>
                <w:sz w:val="22"/>
              </w:rPr>
              <w:t>R</w:t>
            </w:r>
            <w:proofErr w:type="gramEnd"/>
            <w:r w:rsidRPr="003B0E13">
              <w:rPr>
                <w:b/>
                <w:bCs/>
                <w:sz w:val="22"/>
              </w:rPr>
              <w:t xml:space="preserve">_dr166aa </w:t>
            </w:r>
            <w:r>
              <w:rPr>
                <w:sz w:val="22"/>
              </w:rPr>
              <w:t>= enzyme mutée</w:t>
            </w:r>
          </w:p>
          <w:p w14:paraId="3691EC67" w14:textId="7F9CFFE0" w:rsidR="003B0E13" w:rsidRPr="003B0E13" w:rsidRDefault="003B0E13" w:rsidP="003B0E13">
            <w:pPr>
              <w:pStyle w:val="Paragraphedeliste"/>
              <w:rPr>
                <w:sz w:val="22"/>
              </w:rPr>
            </w:pPr>
          </w:p>
        </w:tc>
      </w:tr>
    </w:tbl>
    <w:p w14:paraId="3C419F58" w14:textId="77777777" w:rsidR="00BA67B9" w:rsidRPr="00C979B6" w:rsidRDefault="00BA67B9" w:rsidP="00BA67B9">
      <w:pPr>
        <w:rPr>
          <w:sz w:val="22"/>
          <w:szCs w:val="22"/>
        </w:rPr>
      </w:pPr>
    </w:p>
    <w:sectPr w:rsidR="00BA67B9" w:rsidRPr="00C979B6" w:rsidSect="00C979B6">
      <w:footerReference w:type="default" r:id="rId29"/>
      <w:pgSz w:w="11906" w:h="16838"/>
      <w:pgMar w:top="1417" w:right="1417" w:bottom="1417" w:left="1417" w:header="708" w:footer="38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3149C3" w14:textId="77777777" w:rsidR="00265FAF" w:rsidRDefault="00265FAF" w:rsidP="00C979B6">
      <w:pPr>
        <w:spacing w:line="240" w:lineRule="auto"/>
      </w:pPr>
      <w:r>
        <w:separator/>
      </w:r>
    </w:p>
  </w:endnote>
  <w:endnote w:type="continuationSeparator" w:id="0">
    <w:p w14:paraId="5465FCEC" w14:textId="77777777" w:rsidR="00265FAF" w:rsidRDefault="00265FAF" w:rsidP="00C979B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9859012"/>
      <w:docPartObj>
        <w:docPartGallery w:val="Page Numbers (Bottom of Page)"/>
        <w:docPartUnique/>
      </w:docPartObj>
    </w:sdtPr>
    <w:sdtEndPr/>
    <w:sdtContent>
      <w:p w14:paraId="2C7FFC43" w14:textId="77777777" w:rsidR="00062F07" w:rsidRDefault="0095321F">
        <w:pPr>
          <w:pStyle w:val="Pieddepage"/>
          <w:jc w:val="right"/>
        </w:pPr>
        <w:r>
          <w:fldChar w:fldCharType="begin"/>
        </w:r>
        <w:r>
          <w:instrText xml:space="preserve"> PAGE   \* MERGEFORMAT </w:instrText>
        </w:r>
        <w:r>
          <w:fldChar w:fldCharType="separate"/>
        </w:r>
        <w:r w:rsidR="003D0568">
          <w:rPr>
            <w:noProof/>
          </w:rPr>
          <w:t>1</w:t>
        </w:r>
        <w:r>
          <w:rPr>
            <w:noProof/>
          </w:rPr>
          <w:fldChar w:fldCharType="end"/>
        </w:r>
      </w:p>
    </w:sdtContent>
  </w:sdt>
  <w:p w14:paraId="44FD6ED5" w14:textId="77777777" w:rsidR="00062F07" w:rsidRDefault="00062F0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D9BEBC" w14:textId="77777777" w:rsidR="00265FAF" w:rsidRDefault="00265FAF" w:rsidP="00C979B6">
      <w:pPr>
        <w:spacing w:line="240" w:lineRule="auto"/>
      </w:pPr>
      <w:r>
        <w:separator/>
      </w:r>
    </w:p>
  </w:footnote>
  <w:footnote w:type="continuationSeparator" w:id="0">
    <w:p w14:paraId="14F744F6" w14:textId="77777777" w:rsidR="00265FAF" w:rsidRDefault="00265FAF" w:rsidP="00C979B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E3DDE"/>
    <w:multiLevelType w:val="hybridMultilevel"/>
    <w:tmpl w:val="D1E4CCE6"/>
    <w:lvl w:ilvl="0" w:tplc="1F100E3C">
      <w:start w:val="1"/>
      <w:numFmt w:val="decimal"/>
      <w:lvlText w:val="%1."/>
      <w:lvlJc w:val="left"/>
      <w:pPr>
        <w:ind w:left="720" w:hanging="360"/>
      </w:pPr>
      <w:rPr>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314506B"/>
    <w:multiLevelType w:val="hybridMultilevel"/>
    <w:tmpl w:val="B844B604"/>
    <w:lvl w:ilvl="0" w:tplc="040C0001">
      <w:start w:val="1"/>
      <w:numFmt w:val="bullet"/>
      <w:lvlText w:val=""/>
      <w:lvlJc w:val="left"/>
      <w:pPr>
        <w:ind w:left="770" w:hanging="360"/>
      </w:pPr>
      <w:rPr>
        <w:rFonts w:ascii="Symbol" w:hAnsi="Symbol" w:hint="default"/>
      </w:rPr>
    </w:lvl>
    <w:lvl w:ilvl="1" w:tplc="040C0003" w:tentative="1">
      <w:start w:val="1"/>
      <w:numFmt w:val="bullet"/>
      <w:lvlText w:val="o"/>
      <w:lvlJc w:val="left"/>
      <w:pPr>
        <w:ind w:left="1490" w:hanging="360"/>
      </w:pPr>
      <w:rPr>
        <w:rFonts w:ascii="Courier New" w:hAnsi="Courier New" w:cs="Courier New" w:hint="default"/>
      </w:rPr>
    </w:lvl>
    <w:lvl w:ilvl="2" w:tplc="040C0005" w:tentative="1">
      <w:start w:val="1"/>
      <w:numFmt w:val="bullet"/>
      <w:lvlText w:val=""/>
      <w:lvlJc w:val="left"/>
      <w:pPr>
        <w:ind w:left="2210" w:hanging="360"/>
      </w:pPr>
      <w:rPr>
        <w:rFonts w:ascii="Wingdings" w:hAnsi="Wingdings" w:hint="default"/>
      </w:rPr>
    </w:lvl>
    <w:lvl w:ilvl="3" w:tplc="040C0001" w:tentative="1">
      <w:start w:val="1"/>
      <w:numFmt w:val="bullet"/>
      <w:lvlText w:val=""/>
      <w:lvlJc w:val="left"/>
      <w:pPr>
        <w:ind w:left="2930" w:hanging="360"/>
      </w:pPr>
      <w:rPr>
        <w:rFonts w:ascii="Symbol" w:hAnsi="Symbol" w:hint="default"/>
      </w:rPr>
    </w:lvl>
    <w:lvl w:ilvl="4" w:tplc="040C0003" w:tentative="1">
      <w:start w:val="1"/>
      <w:numFmt w:val="bullet"/>
      <w:lvlText w:val="o"/>
      <w:lvlJc w:val="left"/>
      <w:pPr>
        <w:ind w:left="3650" w:hanging="360"/>
      </w:pPr>
      <w:rPr>
        <w:rFonts w:ascii="Courier New" w:hAnsi="Courier New" w:cs="Courier New" w:hint="default"/>
      </w:rPr>
    </w:lvl>
    <w:lvl w:ilvl="5" w:tplc="040C0005" w:tentative="1">
      <w:start w:val="1"/>
      <w:numFmt w:val="bullet"/>
      <w:lvlText w:val=""/>
      <w:lvlJc w:val="left"/>
      <w:pPr>
        <w:ind w:left="4370" w:hanging="360"/>
      </w:pPr>
      <w:rPr>
        <w:rFonts w:ascii="Wingdings" w:hAnsi="Wingdings" w:hint="default"/>
      </w:rPr>
    </w:lvl>
    <w:lvl w:ilvl="6" w:tplc="040C0001" w:tentative="1">
      <w:start w:val="1"/>
      <w:numFmt w:val="bullet"/>
      <w:lvlText w:val=""/>
      <w:lvlJc w:val="left"/>
      <w:pPr>
        <w:ind w:left="5090" w:hanging="360"/>
      </w:pPr>
      <w:rPr>
        <w:rFonts w:ascii="Symbol" w:hAnsi="Symbol" w:hint="default"/>
      </w:rPr>
    </w:lvl>
    <w:lvl w:ilvl="7" w:tplc="040C0003" w:tentative="1">
      <w:start w:val="1"/>
      <w:numFmt w:val="bullet"/>
      <w:lvlText w:val="o"/>
      <w:lvlJc w:val="left"/>
      <w:pPr>
        <w:ind w:left="5810" w:hanging="360"/>
      </w:pPr>
      <w:rPr>
        <w:rFonts w:ascii="Courier New" w:hAnsi="Courier New" w:cs="Courier New" w:hint="default"/>
      </w:rPr>
    </w:lvl>
    <w:lvl w:ilvl="8" w:tplc="040C0005" w:tentative="1">
      <w:start w:val="1"/>
      <w:numFmt w:val="bullet"/>
      <w:lvlText w:val=""/>
      <w:lvlJc w:val="left"/>
      <w:pPr>
        <w:ind w:left="6530" w:hanging="360"/>
      </w:pPr>
      <w:rPr>
        <w:rFonts w:ascii="Wingdings" w:hAnsi="Wingdings" w:hint="default"/>
      </w:rPr>
    </w:lvl>
  </w:abstractNum>
  <w:abstractNum w:abstractNumId="2" w15:restartNumberingAfterBreak="0">
    <w:nsid w:val="07F16664"/>
    <w:multiLevelType w:val="hybridMultilevel"/>
    <w:tmpl w:val="929626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9424C53"/>
    <w:multiLevelType w:val="hybridMultilevel"/>
    <w:tmpl w:val="78AE32D2"/>
    <w:lvl w:ilvl="0" w:tplc="662E4B3A">
      <w:start w:val="1"/>
      <w:numFmt w:val="bullet"/>
      <w:lvlText w:val=""/>
      <w:lvlJc w:val="left"/>
      <w:pPr>
        <w:ind w:left="720" w:hanging="360"/>
      </w:pPr>
      <w:rPr>
        <w:rFonts w:ascii="Wingdings" w:hAnsi="Wingdings" w:hint="default"/>
        <w:sz w:val="3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F4427EE"/>
    <w:multiLevelType w:val="hybridMultilevel"/>
    <w:tmpl w:val="20165D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1E63DA7"/>
    <w:multiLevelType w:val="hybridMultilevel"/>
    <w:tmpl w:val="9EAE05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9636D87"/>
    <w:multiLevelType w:val="hybridMultilevel"/>
    <w:tmpl w:val="D2106C72"/>
    <w:lvl w:ilvl="0" w:tplc="BFD843C4">
      <w:start w:val="1"/>
      <w:numFmt w:val="bullet"/>
      <w:lvlText w:val=""/>
      <w:lvlJc w:val="left"/>
      <w:pPr>
        <w:ind w:left="720" w:hanging="360"/>
      </w:pPr>
      <w:rPr>
        <w:rFonts w:ascii="Symbol" w:hAnsi="Symbol" w:hint="default"/>
      </w:rPr>
    </w:lvl>
    <w:lvl w:ilvl="1" w:tplc="B0F42364">
      <w:numFmt w:val="bullet"/>
      <w:lvlText w:val="•"/>
      <w:lvlJc w:val="left"/>
      <w:pPr>
        <w:ind w:left="1440" w:hanging="360"/>
      </w:pPr>
      <w:rPr>
        <w:rFonts w:ascii="Calibri" w:eastAsiaTheme="minorHAnsi" w:hAnsi="Calibri" w:cs="Times New Roman" w:hint="default"/>
        <w:b w:val="0"/>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EED77FA"/>
    <w:multiLevelType w:val="hybridMultilevel"/>
    <w:tmpl w:val="FDCC2EDA"/>
    <w:lvl w:ilvl="0" w:tplc="D7B03410">
      <w:numFmt w:val="bullet"/>
      <w:lvlText w:val="-"/>
      <w:lvlJc w:val="left"/>
      <w:pPr>
        <w:ind w:left="199" w:hanging="171"/>
      </w:pPr>
      <w:rPr>
        <w:rFonts w:ascii="Calibri" w:eastAsia="Calibri" w:hAnsi="Calibri" w:cs="Calibri" w:hint="default"/>
        <w:b/>
        <w:bCs/>
        <w:color w:val="0061AC"/>
        <w:spacing w:val="-12"/>
        <w:w w:val="100"/>
        <w:sz w:val="24"/>
        <w:szCs w:val="24"/>
        <w:lang w:val="fr-FR" w:eastAsia="fr-FR" w:bidi="fr-FR"/>
      </w:rPr>
    </w:lvl>
    <w:lvl w:ilvl="1" w:tplc="A7306DA2">
      <w:numFmt w:val="bullet"/>
      <w:lvlText w:val="•"/>
      <w:lvlJc w:val="left"/>
      <w:pPr>
        <w:ind w:left="1087" w:hanging="171"/>
      </w:pPr>
      <w:rPr>
        <w:rFonts w:hint="default"/>
        <w:lang w:val="fr-FR" w:eastAsia="fr-FR" w:bidi="fr-FR"/>
      </w:rPr>
    </w:lvl>
    <w:lvl w:ilvl="2" w:tplc="6188F5AA">
      <w:numFmt w:val="bullet"/>
      <w:lvlText w:val="•"/>
      <w:lvlJc w:val="left"/>
      <w:pPr>
        <w:ind w:left="1974" w:hanging="171"/>
      </w:pPr>
      <w:rPr>
        <w:rFonts w:hint="default"/>
        <w:lang w:val="fr-FR" w:eastAsia="fr-FR" w:bidi="fr-FR"/>
      </w:rPr>
    </w:lvl>
    <w:lvl w:ilvl="3" w:tplc="1786D04C">
      <w:numFmt w:val="bullet"/>
      <w:lvlText w:val="•"/>
      <w:lvlJc w:val="left"/>
      <w:pPr>
        <w:ind w:left="2862" w:hanging="171"/>
      </w:pPr>
      <w:rPr>
        <w:rFonts w:hint="default"/>
        <w:lang w:val="fr-FR" w:eastAsia="fr-FR" w:bidi="fr-FR"/>
      </w:rPr>
    </w:lvl>
    <w:lvl w:ilvl="4" w:tplc="6B16C2F4">
      <w:numFmt w:val="bullet"/>
      <w:lvlText w:val="•"/>
      <w:lvlJc w:val="left"/>
      <w:pPr>
        <w:ind w:left="3749" w:hanging="171"/>
      </w:pPr>
      <w:rPr>
        <w:rFonts w:hint="default"/>
        <w:lang w:val="fr-FR" w:eastAsia="fr-FR" w:bidi="fr-FR"/>
      </w:rPr>
    </w:lvl>
    <w:lvl w:ilvl="5" w:tplc="865E455E">
      <w:numFmt w:val="bullet"/>
      <w:lvlText w:val="•"/>
      <w:lvlJc w:val="left"/>
      <w:pPr>
        <w:ind w:left="4636" w:hanging="171"/>
      </w:pPr>
      <w:rPr>
        <w:rFonts w:hint="default"/>
        <w:lang w:val="fr-FR" w:eastAsia="fr-FR" w:bidi="fr-FR"/>
      </w:rPr>
    </w:lvl>
    <w:lvl w:ilvl="6" w:tplc="BB6E17EA">
      <w:numFmt w:val="bullet"/>
      <w:lvlText w:val="•"/>
      <w:lvlJc w:val="left"/>
      <w:pPr>
        <w:ind w:left="5524" w:hanging="171"/>
      </w:pPr>
      <w:rPr>
        <w:rFonts w:hint="default"/>
        <w:lang w:val="fr-FR" w:eastAsia="fr-FR" w:bidi="fr-FR"/>
      </w:rPr>
    </w:lvl>
    <w:lvl w:ilvl="7" w:tplc="B0BC9C96">
      <w:numFmt w:val="bullet"/>
      <w:lvlText w:val="•"/>
      <w:lvlJc w:val="left"/>
      <w:pPr>
        <w:ind w:left="6411" w:hanging="171"/>
      </w:pPr>
      <w:rPr>
        <w:rFonts w:hint="default"/>
        <w:lang w:val="fr-FR" w:eastAsia="fr-FR" w:bidi="fr-FR"/>
      </w:rPr>
    </w:lvl>
    <w:lvl w:ilvl="8" w:tplc="9690A8DC">
      <w:numFmt w:val="bullet"/>
      <w:lvlText w:val="•"/>
      <w:lvlJc w:val="left"/>
      <w:pPr>
        <w:ind w:left="7298" w:hanging="171"/>
      </w:pPr>
      <w:rPr>
        <w:rFonts w:hint="default"/>
        <w:lang w:val="fr-FR" w:eastAsia="fr-FR" w:bidi="fr-FR"/>
      </w:rPr>
    </w:lvl>
  </w:abstractNum>
  <w:abstractNum w:abstractNumId="8" w15:restartNumberingAfterBreak="0">
    <w:nsid w:val="308222E2"/>
    <w:multiLevelType w:val="hybridMultilevel"/>
    <w:tmpl w:val="10DE5D0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4304FD2"/>
    <w:multiLevelType w:val="hybridMultilevel"/>
    <w:tmpl w:val="02445176"/>
    <w:lvl w:ilvl="0" w:tplc="040C0001">
      <w:start w:val="1"/>
      <w:numFmt w:val="bullet"/>
      <w:lvlText w:val=""/>
      <w:lvlJc w:val="left"/>
      <w:pPr>
        <w:ind w:left="720" w:hanging="360"/>
      </w:pPr>
      <w:rPr>
        <w:rFonts w:ascii="Symbol" w:hAnsi="Symbo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4F26C8E"/>
    <w:multiLevelType w:val="hybridMultilevel"/>
    <w:tmpl w:val="C194C14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1145438"/>
    <w:multiLevelType w:val="hybridMultilevel"/>
    <w:tmpl w:val="597C625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19A771F"/>
    <w:multiLevelType w:val="hybridMultilevel"/>
    <w:tmpl w:val="34CE4A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B331663"/>
    <w:multiLevelType w:val="hybridMultilevel"/>
    <w:tmpl w:val="262003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ED50401"/>
    <w:multiLevelType w:val="hybridMultilevel"/>
    <w:tmpl w:val="D1E4CCE6"/>
    <w:lvl w:ilvl="0" w:tplc="1F100E3C">
      <w:start w:val="1"/>
      <w:numFmt w:val="decimal"/>
      <w:lvlText w:val="%1."/>
      <w:lvlJc w:val="left"/>
      <w:pPr>
        <w:ind w:left="720" w:hanging="360"/>
      </w:pPr>
      <w:rPr>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4EE0263F"/>
    <w:multiLevelType w:val="hybridMultilevel"/>
    <w:tmpl w:val="DA987B4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17C3724"/>
    <w:multiLevelType w:val="hybridMultilevel"/>
    <w:tmpl w:val="764E3042"/>
    <w:lvl w:ilvl="0" w:tplc="1F100E3C">
      <w:start w:val="1"/>
      <w:numFmt w:val="decimal"/>
      <w:lvlText w:val="%1."/>
      <w:lvlJc w:val="left"/>
      <w:pPr>
        <w:ind w:left="720" w:hanging="360"/>
      </w:pPr>
      <w:rPr>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56083103"/>
    <w:multiLevelType w:val="hybridMultilevel"/>
    <w:tmpl w:val="FCC234EA"/>
    <w:lvl w:ilvl="0" w:tplc="6F301190">
      <w:numFmt w:val="bullet"/>
      <w:lvlText w:val="•"/>
      <w:lvlJc w:val="left"/>
      <w:pPr>
        <w:ind w:left="1065" w:hanging="705"/>
      </w:pPr>
      <w:rPr>
        <w:rFonts w:ascii="Calibri" w:eastAsiaTheme="minorHAnsi" w:hAnsi="Calibri" w:cs="Calibri" w:hint="default"/>
        <w:b/>
        <w:color w:val="17818E"/>
        <w:sz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626483C"/>
    <w:multiLevelType w:val="hybridMultilevel"/>
    <w:tmpl w:val="D17C185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5C480C95"/>
    <w:multiLevelType w:val="hybridMultilevel"/>
    <w:tmpl w:val="C58405D4"/>
    <w:lvl w:ilvl="0" w:tplc="51E8B42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5CAE4B6B"/>
    <w:multiLevelType w:val="hybridMultilevel"/>
    <w:tmpl w:val="FA28675E"/>
    <w:lvl w:ilvl="0" w:tplc="040C000F">
      <w:start w:val="1"/>
      <w:numFmt w:val="decimal"/>
      <w:lvlText w:val="%1."/>
      <w:lvlJc w:val="left"/>
      <w:pPr>
        <w:ind w:left="774" w:hanging="360"/>
      </w:pPr>
    </w:lvl>
    <w:lvl w:ilvl="1" w:tplc="040C0019" w:tentative="1">
      <w:start w:val="1"/>
      <w:numFmt w:val="lowerLetter"/>
      <w:lvlText w:val="%2."/>
      <w:lvlJc w:val="left"/>
      <w:pPr>
        <w:ind w:left="1494" w:hanging="360"/>
      </w:pPr>
    </w:lvl>
    <w:lvl w:ilvl="2" w:tplc="040C001B" w:tentative="1">
      <w:start w:val="1"/>
      <w:numFmt w:val="lowerRoman"/>
      <w:lvlText w:val="%3."/>
      <w:lvlJc w:val="right"/>
      <w:pPr>
        <w:ind w:left="2214" w:hanging="180"/>
      </w:pPr>
    </w:lvl>
    <w:lvl w:ilvl="3" w:tplc="040C000F" w:tentative="1">
      <w:start w:val="1"/>
      <w:numFmt w:val="decimal"/>
      <w:lvlText w:val="%4."/>
      <w:lvlJc w:val="left"/>
      <w:pPr>
        <w:ind w:left="2934" w:hanging="360"/>
      </w:pPr>
    </w:lvl>
    <w:lvl w:ilvl="4" w:tplc="040C0019" w:tentative="1">
      <w:start w:val="1"/>
      <w:numFmt w:val="lowerLetter"/>
      <w:lvlText w:val="%5."/>
      <w:lvlJc w:val="left"/>
      <w:pPr>
        <w:ind w:left="3654" w:hanging="360"/>
      </w:pPr>
    </w:lvl>
    <w:lvl w:ilvl="5" w:tplc="040C001B" w:tentative="1">
      <w:start w:val="1"/>
      <w:numFmt w:val="lowerRoman"/>
      <w:lvlText w:val="%6."/>
      <w:lvlJc w:val="right"/>
      <w:pPr>
        <w:ind w:left="4374" w:hanging="180"/>
      </w:pPr>
    </w:lvl>
    <w:lvl w:ilvl="6" w:tplc="040C000F" w:tentative="1">
      <w:start w:val="1"/>
      <w:numFmt w:val="decimal"/>
      <w:lvlText w:val="%7."/>
      <w:lvlJc w:val="left"/>
      <w:pPr>
        <w:ind w:left="5094" w:hanging="360"/>
      </w:pPr>
    </w:lvl>
    <w:lvl w:ilvl="7" w:tplc="040C0019" w:tentative="1">
      <w:start w:val="1"/>
      <w:numFmt w:val="lowerLetter"/>
      <w:lvlText w:val="%8."/>
      <w:lvlJc w:val="left"/>
      <w:pPr>
        <w:ind w:left="5814" w:hanging="360"/>
      </w:pPr>
    </w:lvl>
    <w:lvl w:ilvl="8" w:tplc="040C001B" w:tentative="1">
      <w:start w:val="1"/>
      <w:numFmt w:val="lowerRoman"/>
      <w:lvlText w:val="%9."/>
      <w:lvlJc w:val="right"/>
      <w:pPr>
        <w:ind w:left="6534" w:hanging="180"/>
      </w:pPr>
    </w:lvl>
  </w:abstractNum>
  <w:abstractNum w:abstractNumId="21" w15:restartNumberingAfterBreak="0">
    <w:nsid w:val="5CD47AFA"/>
    <w:multiLevelType w:val="hybridMultilevel"/>
    <w:tmpl w:val="43FEDDD0"/>
    <w:lvl w:ilvl="0" w:tplc="FBEC4B0A">
      <w:numFmt w:val="bullet"/>
      <w:lvlText w:val=""/>
      <w:lvlJc w:val="left"/>
      <w:pPr>
        <w:ind w:left="496" w:hanging="360"/>
      </w:pPr>
      <w:rPr>
        <w:rFonts w:ascii="Symbol" w:eastAsia="Symbol" w:hAnsi="Symbol" w:cs="Symbol" w:hint="default"/>
        <w:color w:val="17818E"/>
        <w:w w:val="100"/>
        <w:sz w:val="22"/>
        <w:szCs w:val="22"/>
        <w:lang w:val="fr-FR" w:eastAsia="fr-FR" w:bidi="fr-FR"/>
      </w:rPr>
    </w:lvl>
    <w:lvl w:ilvl="1" w:tplc="48E6330E">
      <w:numFmt w:val="bullet"/>
      <w:lvlText w:val="•"/>
      <w:lvlJc w:val="left"/>
      <w:pPr>
        <w:ind w:left="1386" w:hanging="360"/>
      </w:pPr>
      <w:rPr>
        <w:rFonts w:hint="default"/>
        <w:lang w:val="fr-FR" w:eastAsia="fr-FR" w:bidi="fr-FR"/>
      </w:rPr>
    </w:lvl>
    <w:lvl w:ilvl="2" w:tplc="F220522A">
      <w:numFmt w:val="bullet"/>
      <w:lvlText w:val="•"/>
      <w:lvlJc w:val="left"/>
      <w:pPr>
        <w:ind w:left="2273" w:hanging="360"/>
      </w:pPr>
      <w:rPr>
        <w:rFonts w:hint="default"/>
        <w:lang w:val="fr-FR" w:eastAsia="fr-FR" w:bidi="fr-FR"/>
      </w:rPr>
    </w:lvl>
    <w:lvl w:ilvl="3" w:tplc="9056C44A">
      <w:numFmt w:val="bullet"/>
      <w:lvlText w:val="•"/>
      <w:lvlJc w:val="left"/>
      <w:pPr>
        <w:ind w:left="3159" w:hanging="360"/>
      </w:pPr>
      <w:rPr>
        <w:rFonts w:hint="default"/>
        <w:lang w:val="fr-FR" w:eastAsia="fr-FR" w:bidi="fr-FR"/>
      </w:rPr>
    </w:lvl>
    <w:lvl w:ilvl="4" w:tplc="E1341ECC">
      <w:numFmt w:val="bullet"/>
      <w:lvlText w:val="•"/>
      <w:lvlJc w:val="left"/>
      <w:pPr>
        <w:ind w:left="4046" w:hanging="360"/>
      </w:pPr>
      <w:rPr>
        <w:rFonts w:hint="default"/>
        <w:lang w:val="fr-FR" w:eastAsia="fr-FR" w:bidi="fr-FR"/>
      </w:rPr>
    </w:lvl>
    <w:lvl w:ilvl="5" w:tplc="C748A0DC">
      <w:numFmt w:val="bullet"/>
      <w:lvlText w:val="•"/>
      <w:lvlJc w:val="left"/>
      <w:pPr>
        <w:ind w:left="4933" w:hanging="360"/>
      </w:pPr>
      <w:rPr>
        <w:rFonts w:hint="default"/>
        <w:lang w:val="fr-FR" w:eastAsia="fr-FR" w:bidi="fr-FR"/>
      </w:rPr>
    </w:lvl>
    <w:lvl w:ilvl="6" w:tplc="984C11DE">
      <w:numFmt w:val="bullet"/>
      <w:lvlText w:val="•"/>
      <w:lvlJc w:val="left"/>
      <w:pPr>
        <w:ind w:left="5819" w:hanging="360"/>
      </w:pPr>
      <w:rPr>
        <w:rFonts w:hint="default"/>
        <w:lang w:val="fr-FR" w:eastAsia="fr-FR" w:bidi="fr-FR"/>
      </w:rPr>
    </w:lvl>
    <w:lvl w:ilvl="7" w:tplc="EB6AF1BE">
      <w:numFmt w:val="bullet"/>
      <w:lvlText w:val="•"/>
      <w:lvlJc w:val="left"/>
      <w:pPr>
        <w:ind w:left="6706" w:hanging="360"/>
      </w:pPr>
      <w:rPr>
        <w:rFonts w:hint="default"/>
        <w:lang w:val="fr-FR" w:eastAsia="fr-FR" w:bidi="fr-FR"/>
      </w:rPr>
    </w:lvl>
    <w:lvl w:ilvl="8" w:tplc="B0B8360C">
      <w:numFmt w:val="bullet"/>
      <w:lvlText w:val="•"/>
      <w:lvlJc w:val="left"/>
      <w:pPr>
        <w:ind w:left="7593" w:hanging="360"/>
      </w:pPr>
      <w:rPr>
        <w:rFonts w:hint="default"/>
        <w:lang w:val="fr-FR" w:eastAsia="fr-FR" w:bidi="fr-FR"/>
      </w:rPr>
    </w:lvl>
  </w:abstractNum>
  <w:abstractNum w:abstractNumId="22" w15:restartNumberingAfterBreak="0">
    <w:nsid w:val="62A64A95"/>
    <w:multiLevelType w:val="hybridMultilevel"/>
    <w:tmpl w:val="EC7629C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63A21249"/>
    <w:multiLevelType w:val="hybridMultilevel"/>
    <w:tmpl w:val="3C82AB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64BA7A8D"/>
    <w:multiLevelType w:val="hybridMultilevel"/>
    <w:tmpl w:val="D1E4CCE6"/>
    <w:lvl w:ilvl="0" w:tplc="1F100E3C">
      <w:start w:val="1"/>
      <w:numFmt w:val="decimal"/>
      <w:lvlText w:val="%1."/>
      <w:lvlJc w:val="left"/>
      <w:pPr>
        <w:ind w:left="720" w:hanging="360"/>
      </w:pPr>
      <w:rPr>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64C93A33"/>
    <w:multiLevelType w:val="hybridMultilevel"/>
    <w:tmpl w:val="DE5023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5FE0AC3"/>
    <w:multiLevelType w:val="hybridMultilevel"/>
    <w:tmpl w:val="AC886DAC"/>
    <w:lvl w:ilvl="0" w:tplc="51E8B42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7877786"/>
    <w:multiLevelType w:val="hybridMultilevel"/>
    <w:tmpl w:val="2E942A50"/>
    <w:lvl w:ilvl="0" w:tplc="040C0001">
      <w:start w:val="1"/>
      <w:numFmt w:val="bullet"/>
      <w:lvlText w:val=""/>
      <w:lvlJc w:val="left"/>
      <w:pPr>
        <w:ind w:left="748" w:hanging="360"/>
      </w:pPr>
      <w:rPr>
        <w:rFonts w:ascii="Symbol" w:hAnsi="Symbol" w:hint="default"/>
      </w:rPr>
    </w:lvl>
    <w:lvl w:ilvl="1" w:tplc="040C0003" w:tentative="1">
      <w:start w:val="1"/>
      <w:numFmt w:val="bullet"/>
      <w:lvlText w:val="o"/>
      <w:lvlJc w:val="left"/>
      <w:pPr>
        <w:ind w:left="1468" w:hanging="360"/>
      </w:pPr>
      <w:rPr>
        <w:rFonts w:ascii="Courier New" w:hAnsi="Courier New" w:cs="Courier New" w:hint="default"/>
      </w:rPr>
    </w:lvl>
    <w:lvl w:ilvl="2" w:tplc="040C0005" w:tentative="1">
      <w:start w:val="1"/>
      <w:numFmt w:val="bullet"/>
      <w:lvlText w:val=""/>
      <w:lvlJc w:val="left"/>
      <w:pPr>
        <w:ind w:left="2188" w:hanging="360"/>
      </w:pPr>
      <w:rPr>
        <w:rFonts w:ascii="Wingdings" w:hAnsi="Wingdings" w:hint="default"/>
      </w:rPr>
    </w:lvl>
    <w:lvl w:ilvl="3" w:tplc="040C0001" w:tentative="1">
      <w:start w:val="1"/>
      <w:numFmt w:val="bullet"/>
      <w:lvlText w:val=""/>
      <w:lvlJc w:val="left"/>
      <w:pPr>
        <w:ind w:left="2908" w:hanging="360"/>
      </w:pPr>
      <w:rPr>
        <w:rFonts w:ascii="Symbol" w:hAnsi="Symbol" w:hint="default"/>
      </w:rPr>
    </w:lvl>
    <w:lvl w:ilvl="4" w:tplc="040C0003" w:tentative="1">
      <w:start w:val="1"/>
      <w:numFmt w:val="bullet"/>
      <w:lvlText w:val="o"/>
      <w:lvlJc w:val="left"/>
      <w:pPr>
        <w:ind w:left="3628" w:hanging="360"/>
      </w:pPr>
      <w:rPr>
        <w:rFonts w:ascii="Courier New" w:hAnsi="Courier New" w:cs="Courier New" w:hint="default"/>
      </w:rPr>
    </w:lvl>
    <w:lvl w:ilvl="5" w:tplc="040C0005" w:tentative="1">
      <w:start w:val="1"/>
      <w:numFmt w:val="bullet"/>
      <w:lvlText w:val=""/>
      <w:lvlJc w:val="left"/>
      <w:pPr>
        <w:ind w:left="4348" w:hanging="360"/>
      </w:pPr>
      <w:rPr>
        <w:rFonts w:ascii="Wingdings" w:hAnsi="Wingdings" w:hint="default"/>
      </w:rPr>
    </w:lvl>
    <w:lvl w:ilvl="6" w:tplc="040C0001" w:tentative="1">
      <w:start w:val="1"/>
      <w:numFmt w:val="bullet"/>
      <w:lvlText w:val=""/>
      <w:lvlJc w:val="left"/>
      <w:pPr>
        <w:ind w:left="5068" w:hanging="360"/>
      </w:pPr>
      <w:rPr>
        <w:rFonts w:ascii="Symbol" w:hAnsi="Symbol" w:hint="default"/>
      </w:rPr>
    </w:lvl>
    <w:lvl w:ilvl="7" w:tplc="040C0003" w:tentative="1">
      <w:start w:val="1"/>
      <w:numFmt w:val="bullet"/>
      <w:lvlText w:val="o"/>
      <w:lvlJc w:val="left"/>
      <w:pPr>
        <w:ind w:left="5788" w:hanging="360"/>
      </w:pPr>
      <w:rPr>
        <w:rFonts w:ascii="Courier New" w:hAnsi="Courier New" w:cs="Courier New" w:hint="default"/>
      </w:rPr>
    </w:lvl>
    <w:lvl w:ilvl="8" w:tplc="040C0005" w:tentative="1">
      <w:start w:val="1"/>
      <w:numFmt w:val="bullet"/>
      <w:lvlText w:val=""/>
      <w:lvlJc w:val="left"/>
      <w:pPr>
        <w:ind w:left="6508" w:hanging="360"/>
      </w:pPr>
      <w:rPr>
        <w:rFonts w:ascii="Wingdings" w:hAnsi="Wingdings" w:hint="default"/>
      </w:rPr>
    </w:lvl>
  </w:abstractNum>
  <w:abstractNum w:abstractNumId="28" w15:restartNumberingAfterBreak="0">
    <w:nsid w:val="6F5434BC"/>
    <w:multiLevelType w:val="hybridMultilevel"/>
    <w:tmpl w:val="8E387F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74441E67"/>
    <w:multiLevelType w:val="hybridMultilevel"/>
    <w:tmpl w:val="F5EE58D6"/>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7F4C585B"/>
    <w:multiLevelType w:val="hybridMultilevel"/>
    <w:tmpl w:val="DC5415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0"/>
  </w:num>
  <w:num w:numId="2">
    <w:abstractNumId w:val="25"/>
  </w:num>
  <w:num w:numId="3">
    <w:abstractNumId w:val="6"/>
  </w:num>
  <w:num w:numId="4">
    <w:abstractNumId w:val="3"/>
  </w:num>
  <w:num w:numId="5">
    <w:abstractNumId w:val="27"/>
  </w:num>
  <w:num w:numId="6">
    <w:abstractNumId w:val="18"/>
  </w:num>
  <w:num w:numId="7">
    <w:abstractNumId w:val="15"/>
  </w:num>
  <w:num w:numId="8">
    <w:abstractNumId w:val="17"/>
  </w:num>
  <w:num w:numId="9">
    <w:abstractNumId w:val="7"/>
  </w:num>
  <w:num w:numId="10">
    <w:abstractNumId w:val="21"/>
  </w:num>
  <w:num w:numId="11">
    <w:abstractNumId w:val="24"/>
  </w:num>
  <w:num w:numId="12">
    <w:abstractNumId w:val="14"/>
  </w:num>
  <w:num w:numId="13">
    <w:abstractNumId w:val="16"/>
  </w:num>
  <w:num w:numId="14">
    <w:abstractNumId w:val="8"/>
  </w:num>
  <w:num w:numId="15">
    <w:abstractNumId w:val="9"/>
  </w:num>
  <w:num w:numId="16">
    <w:abstractNumId w:val="0"/>
  </w:num>
  <w:num w:numId="17">
    <w:abstractNumId w:val="22"/>
  </w:num>
  <w:num w:numId="18">
    <w:abstractNumId w:val="2"/>
  </w:num>
  <w:num w:numId="19">
    <w:abstractNumId w:val="13"/>
  </w:num>
  <w:num w:numId="20">
    <w:abstractNumId w:val="12"/>
  </w:num>
  <w:num w:numId="21">
    <w:abstractNumId w:val="1"/>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28"/>
  </w:num>
  <w:num w:numId="25">
    <w:abstractNumId w:val="5"/>
  </w:num>
  <w:num w:numId="26">
    <w:abstractNumId w:val="20"/>
  </w:num>
  <w:num w:numId="27">
    <w:abstractNumId w:val="11"/>
  </w:num>
  <w:num w:numId="28">
    <w:abstractNumId w:val="26"/>
  </w:num>
  <w:num w:numId="29">
    <w:abstractNumId w:val="19"/>
  </w:num>
  <w:num w:numId="30">
    <w:abstractNumId w:val="29"/>
  </w:num>
  <w:num w:numId="31">
    <w:abstractNumId w:val="23"/>
  </w:num>
  <w:num w:numId="3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ED8"/>
    <w:rsid w:val="000067A2"/>
    <w:rsid w:val="00014C6B"/>
    <w:rsid w:val="00020DBF"/>
    <w:rsid w:val="0003285F"/>
    <w:rsid w:val="00042303"/>
    <w:rsid w:val="00044580"/>
    <w:rsid w:val="000458BE"/>
    <w:rsid w:val="00046F5C"/>
    <w:rsid w:val="00060BA0"/>
    <w:rsid w:val="00062059"/>
    <w:rsid w:val="00062F07"/>
    <w:rsid w:val="00077DBE"/>
    <w:rsid w:val="00077F43"/>
    <w:rsid w:val="000822D9"/>
    <w:rsid w:val="00084A95"/>
    <w:rsid w:val="00091814"/>
    <w:rsid w:val="000A4DD1"/>
    <w:rsid w:val="000D1DEF"/>
    <w:rsid w:val="000D5B7C"/>
    <w:rsid w:val="000E5A2E"/>
    <w:rsid w:val="000F0007"/>
    <w:rsid w:val="00101A72"/>
    <w:rsid w:val="00104F91"/>
    <w:rsid w:val="0012475D"/>
    <w:rsid w:val="001418BE"/>
    <w:rsid w:val="001741C3"/>
    <w:rsid w:val="001830B0"/>
    <w:rsid w:val="001961A9"/>
    <w:rsid w:val="001A0A3D"/>
    <w:rsid w:val="001B613F"/>
    <w:rsid w:val="001C1C99"/>
    <w:rsid w:val="00201A10"/>
    <w:rsid w:val="00201F53"/>
    <w:rsid w:val="00214D88"/>
    <w:rsid w:val="00233BFC"/>
    <w:rsid w:val="002547CA"/>
    <w:rsid w:val="0026142E"/>
    <w:rsid w:val="002616D4"/>
    <w:rsid w:val="00265FAF"/>
    <w:rsid w:val="00267383"/>
    <w:rsid w:val="00267E95"/>
    <w:rsid w:val="00270B21"/>
    <w:rsid w:val="00273ECB"/>
    <w:rsid w:val="002749A1"/>
    <w:rsid w:val="00284269"/>
    <w:rsid w:val="0029629C"/>
    <w:rsid w:val="002A1B26"/>
    <w:rsid w:val="002C2C82"/>
    <w:rsid w:val="002D12FF"/>
    <w:rsid w:val="002D30F7"/>
    <w:rsid w:val="002D32C6"/>
    <w:rsid w:val="002E2433"/>
    <w:rsid w:val="002E480A"/>
    <w:rsid w:val="002E73B9"/>
    <w:rsid w:val="002F05DC"/>
    <w:rsid w:val="002F7F15"/>
    <w:rsid w:val="00305ED8"/>
    <w:rsid w:val="00314C70"/>
    <w:rsid w:val="00314DCA"/>
    <w:rsid w:val="00316FCA"/>
    <w:rsid w:val="00324C1A"/>
    <w:rsid w:val="00336C8D"/>
    <w:rsid w:val="00340D4D"/>
    <w:rsid w:val="0035648B"/>
    <w:rsid w:val="003567B6"/>
    <w:rsid w:val="00360000"/>
    <w:rsid w:val="003848EE"/>
    <w:rsid w:val="003945EC"/>
    <w:rsid w:val="00396CE3"/>
    <w:rsid w:val="003A5325"/>
    <w:rsid w:val="003B0037"/>
    <w:rsid w:val="003B0E13"/>
    <w:rsid w:val="003C2159"/>
    <w:rsid w:val="003D0568"/>
    <w:rsid w:val="003E41C5"/>
    <w:rsid w:val="003E7ADE"/>
    <w:rsid w:val="003F1CE7"/>
    <w:rsid w:val="0040271D"/>
    <w:rsid w:val="0041127F"/>
    <w:rsid w:val="00414BBA"/>
    <w:rsid w:val="00440CDE"/>
    <w:rsid w:val="00445E13"/>
    <w:rsid w:val="00451AEE"/>
    <w:rsid w:val="00465DBD"/>
    <w:rsid w:val="00492A1E"/>
    <w:rsid w:val="00496E11"/>
    <w:rsid w:val="004A4EEF"/>
    <w:rsid w:val="004B0FF2"/>
    <w:rsid w:val="004B20B4"/>
    <w:rsid w:val="004B28AC"/>
    <w:rsid w:val="004D3DCC"/>
    <w:rsid w:val="00503E4C"/>
    <w:rsid w:val="00515F47"/>
    <w:rsid w:val="00526F8C"/>
    <w:rsid w:val="00530500"/>
    <w:rsid w:val="00544C93"/>
    <w:rsid w:val="00580750"/>
    <w:rsid w:val="00584ADF"/>
    <w:rsid w:val="00593C5E"/>
    <w:rsid w:val="005A1B24"/>
    <w:rsid w:val="005A4065"/>
    <w:rsid w:val="005B2EC2"/>
    <w:rsid w:val="005C1A52"/>
    <w:rsid w:val="005C5078"/>
    <w:rsid w:val="005D069F"/>
    <w:rsid w:val="005D7D0B"/>
    <w:rsid w:val="005E5B2F"/>
    <w:rsid w:val="005E6019"/>
    <w:rsid w:val="005F4983"/>
    <w:rsid w:val="00605FA9"/>
    <w:rsid w:val="00607466"/>
    <w:rsid w:val="00611BA9"/>
    <w:rsid w:val="00615EC4"/>
    <w:rsid w:val="006178A5"/>
    <w:rsid w:val="0062735F"/>
    <w:rsid w:val="00647E61"/>
    <w:rsid w:val="00650DF3"/>
    <w:rsid w:val="00667A41"/>
    <w:rsid w:val="00687CCA"/>
    <w:rsid w:val="00693199"/>
    <w:rsid w:val="00695F1F"/>
    <w:rsid w:val="006A0B9E"/>
    <w:rsid w:val="006A0CD5"/>
    <w:rsid w:val="006A1517"/>
    <w:rsid w:val="006A3E76"/>
    <w:rsid w:val="006F22C5"/>
    <w:rsid w:val="00702425"/>
    <w:rsid w:val="00706DBD"/>
    <w:rsid w:val="00725DF6"/>
    <w:rsid w:val="00736745"/>
    <w:rsid w:val="007427AE"/>
    <w:rsid w:val="00745B42"/>
    <w:rsid w:val="00761CEB"/>
    <w:rsid w:val="00781D8A"/>
    <w:rsid w:val="0078505E"/>
    <w:rsid w:val="00793F91"/>
    <w:rsid w:val="007D2B79"/>
    <w:rsid w:val="007D4E11"/>
    <w:rsid w:val="007E2A84"/>
    <w:rsid w:val="007E4527"/>
    <w:rsid w:val="007F2F5E"/>
    <w:rsid w:val="00802F12"/>
    <w:rsid w:val="00805799"/>
    <w:rsid w:val="00807894"/>
    <w:rsid w:val="0081038D"/>
    <w:rsid w:val="00824DEE"/>
    <w:rsid w:val="00836F18"/>
    <w:rsid w:val="00843AB5"/>
    <w:rsid w:val="00851949"/>
    <w:rsid w:val="00864825"/>
    <w:rsid w:val="00871239"/>
    <w:rsid w:val="008712C4"/>
    <w:rsid w:val="008839A7"/>
    <w:rsid w:val="00886BBB"/>
    <w:rsid w:val="008A163F"/>
    <w:rsid w:val="008A3C75"/>
    <w:rsid w:val="008B3836"/>
    <w:rsid w:val="008C2FB4"/>
    <w:rsid w:val="008C4F84"/>
    <w:rsid w:val="008E79FB"/>
    <w:rsid w:val="008E7D29"/>
    <w:rsid w:val="008F1B37"/>
    <w:rsid w:val="008F2386"/>
    <w:rsid w:val="008F7523"/>
    <w:rsid w:val="0091151F"/>
    <w:rsid w:val="00924A31"/>
    <w:rsid w:val="00926A76"/>
    <w:rsid w:val="0092705B"/>
    <w:rsid w:val="009417C1"/>
    <w:rsid w:val="0095321F"/>
    <w:rsid w:val="00960E8B"/>
    <w:rsid w:val="009731FD"/>
    <w:rsid w:val="00976659"/>
    <w:rsid w:val="00985807"/>
    <w:rsid w:val="00985A38"/>
    <w:rsid w:val="0099539D"/>
    <w:rsid w:val="009A2D76"/>
    <w:rsid w:val="009C5FA4"/>
    <w:rsid w:val="009D126E"/>
    <w:rsid w:val="009D5D93"/>
    <w:rsid w:val="009D5D98"/>
    <w:rsid w:val="00A06DE5"/>
    <w:rsid w:val="00A127C8"/>
    <w:rsid w:val="00A1299A"/>
    <w:rsid w:val="00A22E22"/>
    <w:rsid w:val="00A408CB"/>
    <w:rsid w:val="00A42D7A"/>
    <w:rsid w:val="00A4365E"/>
    <w:rsid w:val="00A57DF5"/>
    <w:rsid w:val="00A63088"/>
    <w:rsid w:val="00A70517"/>
    <w:rsid w:val="00A77F9F"/>
    <w:rsid w:val="00AA0BD5"/>
    <w:rsid w:val="00AB1F45"/>
    <w:rsid w:val="00AC0E24"/>
    <w:rsid w:val="00AC32CD"/>
    <w:rsid w:val="00AD02E6"/>
    <w:rsid w:val="00AD264B"/>
    <w:rsid w:val="00AD5F89"/>
    <w:rsid w:val="00AF2A8F"/>
    <w:rsid w:val="00B013DE"/>
    <w:rsid w:val="00B0554B"/>
    <w:rsid w:val="00B17704"/>
    <w:rsid w:val="00B24524"/>
    <w:rsid w:val="00B351BF"/>
    <w:rsid w:val="00B4085E"/>
    <w:rsid w:val="00B4449C"/>
    <w:rsid w:val="00B450E7"/>
    <w:rsid w:val="00B45478"/>
    <w:rsid w:val="00B61D38"/>
    <w:rsid w:val="00B86031"/>
    <w:rsid w:val="00B8656F"/>
    <w:rsid w:val="00B953C5"/>
    <w:rsid w:val="00BA67B9"/>
    <w:rsid w:val="00BA6BD3"/>
    <w:rsid w:val="00BB17AF"/>
    <w:rsid w:val="00BB213B"/>
    <w:rsid w:val="00BB63D2"/>
    <w:rsid w:val="00BD7388"/>
    <w:rsid w:val="00BE080E"/>
    <w:rsid w:val="00BE69C7"/>
    <w:rsid w:val="00BF0C7A"/>
    <w:rsid w:val="00BF69A1"/>
    <w:rsid w:val="00C02303"/>
    <w:rsid w:val="00C02F95"/>
    <w:rsid w:val="00C309AF"/>
    <w:rsid w:val="00C42DF5"/>
    <w:rsid w:val="00C43669"/>
    <w:rsid w:val="00C606F5"/>
    <w:rsid w:val="00C7035D"/>
    <w:rsid w:val="00C7155E"/>
    <w:rsid w:val="00C835B6"/>
    <w:rsid w:val="00C9342C"/>
    <w:rsid w:val="00C9344F"/>
    <w:rsid w:val="00C979B6"/>
    <w:rsid w:val="00CB15B5"/>
    <w:rsid w:val="00CB609F"/>
    <w:rsid w:val="00CB63EA"/>
    <w:rsid w:val="00CC101E"/>
    <w:rsid w:val="00CD259E"/>
    <w:rsid w:val="00CE209E"/>
    <w:rsid w:val="00CE5061"/>
    <w:rsid w:val="00CF23B8"/>
    <w:rsid w:val="00D11AE3"/>
    <w:rsid w:val="00D123F8"/>
    <w:rsid w:val="00D16459"/>
    <w:rsid w:val="00D26B08"/>
    <w:rsid w:val="00D26BEF"/>
    <w:rsid w:val="00D3272D"/>
    <w:rsid w:val="00D41779"/>
    <w:rsid w:val="00D51FCA"/>
    <w:rsid w:val="00D52FF5"/>
    <w:rsid w:val="00D60D0F"/>
    <w:rsid w:val="00D70728"/>
    <w:rsid w:val="00D76065"/>
    <w:rsid w:val="00D777CD"/>
    <w:rsid w:val="00D81EC7"/>
    <w:rsid w:val="00DB0C62"/>
    <w:rsid w:val="00DB14A5"/>
    <w:rsid w:val="00DD07B3"/>
    <w:rsid w:val="00DD5C93"/>
    <w:rsid w:val="00DE5A6B"/>
    <w:rsid w:val="00E10903"/>
    <w:rsid w:val="00E242D3"/>
    <w:rsid w:val="00E2465E"/>
    <w:rsid w:val="00E341B7"/>
    <w:rsid w:val="00E41247"/>
    <w:rsid w:val="00E429C3"/>
    <w:rsid w:val="00E47A05"/>
    <w:rsid w:val="00E62809"/>
    <w:rsid w:val="00E87EE2"/>
    <w:rsid w:val="00E9325D"/>
    <w:rsid w:val="00E951E2"/>
    <w:rsid w:val="00EA553E"/>
    <w:rsid w:val="00EB72BE"/>
    <w:rsid w:val="00EB798F"/>
    <w:rsid w:val="00EC1ED6"/>
    <w:rsid w:val="00EC6AED"/>
    <w:rsid w:val="00ED2FC7"/>
    <w:rsid w:val="00EE4248"/>
    <w:rsid w:val="00EE6313"/>
    <w:rsid w:val="00F06413"/>
    <w:rsid w:val="00F17769"/>
    <w:rsid w:val="00F24EB9"/>
    <w:rsid w:val="00F3534F"/>
    <w:rsid w:val="00F42EE3"/>
    <w:rsid w:val="00F444E1"/>
    <w:rsid w:val="00F45B46"/>
    <w:rsid w:val="00F50479"/>
    <w:rsid w:val="00F5238E"/>
    <w:rsid w:val="00F6472B"/>
    <w:rsid w:val="00F64CA1"/>
    <w:rsid w:val="00F738A4"/>
    <w:rsid w:val="00F76BCB"/>
    <w:rsid w:val="00F93B05"/>
    <w:rsid w:val="00FA0402"/>
    <w:rsid w:val="00FA1B60"/>
    <w:rsid w:val="00FC5109"/>
    <w:rsid w:val="00FD1E77"/>
    <w:rsid w:val="00FD4E2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D041C2"/>
  <w15:docId w15:val="{B350CDAD-AB93-49BF-8CFA-590949315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imes New Roman"/>
        <w:sz w:val="24"/>
        <w:szCs w:val="24"/>
        <w:lang w:val="fr-F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24EB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201A10"/>
    <w:rPr>
      <w:color w:val="0000FF" w:themeColor="hyperlink"/>
      <w:u w:val="single"/>
    </w:rPr>
  </w:style>
  <w:style w:type="paragraph" w:styleId="Paragraphedeliste">
    <w:name w:val="List Paragraph"/>
    <w:basedOn w:val="Normal"/>
    <w:uiPriority w:val="34"/>
    <w:qFormat/>
    <w:rsid w:val="00201A10"/>
    <w:pPr>
      <w:ind w:left="720"/>
      <w:contextualSpacing/>
    </w:pPr>
  </w:style>
  <w:style w:type="table" w:customStyle="1" w:styleId="TableNormal">
    <w:name w:val="Table Normal"/>
    <w:uiPriority w:val="2"/>
    <w:semiHidden/>
    <w:unhideWhenUsed/>
    <w:qFormat/>
    <w:rsid w:val="00C02303"/>
    <w:pPr>
      <w:widowControl w:val="0"/>
      <w:autoSpaceDE w:val="0"/>
      <w:autoSpaceDN w:val="0"/>
      <w:spacing w:line="240" w:lineRule="auto"/>
    </w:pPr>
    <w:rPr>
      <w:rFonts w:cstheme="minorBidi"/>
      <w:sz w:val="22"/>
      <w:szCs w:val="22"/>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02303"/>
    <w:pPr>
      <w:widowControl w:val="0"/>
      <w:autoSpaceDE w:val="0"/>
      <w:autoSpaceDN w:val="0"/>
      <w:spacing w:before="40" w:line="240" w:lineRule="auto"/>
      <w:ind w:left="28"/>
    </w:pPr>
    <w:rPr>
      <w:rFonts w:ascii="Arial" w:eastAsia="Arial" w:hAnsi="Arial" w:cs="Arial"/>
      <w:sz w:val="22"/>
      <w:szCs w:val="22"/>
      <w:lang w:eastAsia="fr-FR" w:bidi="fr-FR"/>
    </w:rPr>
  </w:style>
  <w:style w:type="table" w:styleId="Grilledutableau">
    <w:name w:val="Table Grid"/>
    <w:basedOn w:val="TableauNormal"/>
    <w:uiPriority w:val="39"/>
    <w:rsid w:val="00C02303"/>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edebulles">
    <w:name w:val="Balloon Text"/>
    <w:basedOn w:val="Normal"/>
    <w:link w:val="TextedebullesCar"/>
    <w:uiPriority w:val="99"/>
    <w:semiHidden/>
    <w:unhideWhenUsed/>
    <w:rsid w:val="00C02303"/>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02303"/>
    <w:rPr>
      <w:rFonts w:ascii="Tahoma" w:hAnsi="Tahoma" w:cs="Tahoma"/>
      <w:sz w:val="16"/>
      <w:szCs w:val="16"/>
    </w:rPr>
  </w:style>
  <w:style w:type="paragraph" w:styleId="Corpsdetexte">
    <w:name w:val="Body Text"/>
    <w:basedOn w:val="Normal"/>
    <w:link w:val="CorpsdetexteCar"/>
    <w:uiPriority w:val="1"/>
    <w:qFormat/>
    <w:rsid w:val="00C02303"/>
    <w:pPr>
      <w:widowControl w:val="0"/>
      <w:autoSpaceDE w:val="0"/>
      <w:autoSpaceDN w:val="0"/>
      <w:spacing w:line="240" w:lineRule="auto"/>
      <w:ind w:left="136"/>
      <w:jc w:val="both"/>
    </w:pPr>
    <w:rPr>
      <w:rFonts w:ascii="Arial" w:eastAsia="Arial" w:hAnsi="Arial" w:cs="Arial"/>
      <w:sz w:val="22"/>
      <w:szCs w:val="22"/>
      <w:lang w:eastAsia="fr-FR" w:bidi="fr-FR"/>
    </w:rPr>
  </w:style>
  <w:style w:type="character" w:customStyle="1" w:styleId="CorpsdetexteCar">
    <w:name w:val="Corps de texte Car"/>
    <w:basedOn w:val="Policepardfaut"/>
    <w:link w:val="Corpsdetexte"/>
    <w:uiPriority w:val="1"/>
    <w:rsid w:val="00C02303"/>
    <w:rPr>
      <w:rFonts w:ascii="Arial" w:eastAsia="Arial" w:hAnsi="Arial" w:cs="Arial"/>
      <w:sz w:val="22"/>
      <w:szCs w:val="22"/>
      <w:lang w:eastAsia="fr-FR" w:bidi="fr-FR"/>
    </w:rPr>
  </w:style>
  <w:style w:type="character" w:styleId="Lienhypertextesuivivisit">
    <w:name w:val="FollowedHyperlink"/>
    <w:basedOn w:val="Policepardfaut"/>
    <w:uiPriority w:val="99"/>
    <w:semiHidden/>
    <w:unhideWhenUsed/>
    <w:rsid w:val="00F76BCB"/>
    <w:rPr>
      <w:color w:val="800080" w:themeColor="followedHyperlink"/>
      <w:u w:val="single"/>
    </w:rPr>
  </w:style>
  <w:style w:type="paragraph" w:customStyle="1" w:styleId="Titre31">
    <w:name w:val="Titre 31"/>
    <w:basedOn w:val="Normal"/>
    <w:uiPriority w:val="1"/>
    <w:qFormat/>
    <w:rsid w:val="009C5FA4"/>
    <w:pPr>
      <w:widowControl w:val="0"/>
      <w:autoSpaceDE w:val="0"/>
      <w:autoSpaceDN w:val="0"/>
      <w:spacing w:line="240" w:lineRule="auto"/>
      <w:ind w:left="496" w:hanging="361"/>
      <w:outlineLvl w:val="3"/>
    </w:pPr>
    <w:rPr>
      <w:rFonts w:ascii="Arial" w:eastAsia="Arial" w:hAnsi="Arial" w:cs="Arial"/>
      <w:b/>
      <w:bCs/>
      <w:sz w:val="22"/>
      <w:szCs w:val="22"/>
      <w:lang w:eastAsia="fr-FR" w:bidi="fr-FR"/>
    </w:rPr>
  </w:style>
  <w:style w:type="paragraph" w:styleId="En-tte">
    <w:name w:val="header"/>
    <w:basedOn w:val="Normal"/>
    <w:link w:val="En-tteCar"/>
    <w:uiPriority w:val="99"/>
    <w:semiHidden/>
    <w:unhideWhenUsed/>
    <w:rsid w:val="00C979B6"/>
    <w:pPr>
      <w:tabs>
        <w:tab w:val="center" w:pos="4536"/>
        <w:tab w:val="right" w:pos="9072"/>
      </w:tabs>
      <w:spacing w:line="240" w:lineRule="auto"/>
    </w:pPr>
  </w:style>
  <w:style w:type="character" w:customStyle="1" w:styleId="En-tteCar">
    <w:name w:val="En-tête Car"/>
    <w:basedOn w:val="Policepardfaut"/>
    <w:link w:val="En-tte"/>
    <w:uiPriority w:val="99"/>
    <w:semiHidden/>
    <w:rsid w:val="00C979B6"/>
  </w:style>
  <w:style w:type="paragraph" w:styleId="Pieddepage">
    <w:name w:val="footer"/>
    <w:basedOn w:val="Normal"/>
    <w:link w:val="PieddepageCar"/>
    <w:uiPriority w:val="99"/>
    <w:unhideWhenUsed/>
    <w:rsid w:val="00C979B6"/>
    <w:pPr>
      <w:tabs>
        <w:tab w:val="center" w:pos="4536"/>
        <w:tab w:val="right" w:pos="9072"/>
      </w:tabs>
      <w:spacing w:line="240" w:lineRule="auto"/>
    </w:pPr>
  </w:style>
  <w:style w:type="character" w:customStyle="1" w:styleId="PieddepageCar">
    <w:name w:val="Pied de page Car"/>
    <w:basedOn w:val="Policepardfaut"/>
    <w:link w:val="Pieddepage"/>
    <w:uiPriority w:val="99"/>
    <w:rsid w:val="00C979B6"/>
  </w:style>
  <w:style w:type="paragraph" w:customStyle="1" w:styleId="Default">
    <w:name w:val="Default"/>
    <w:rsid w:val="003A5325"/>
    <w:pPr>
      <w:autoSpaceDE w:val="0"/>
      <w:autoSpaceDN w:val="0"/>
      <w:adjustRightInd w:val="0"/>
      <w:spacing w:line="240" w:lineRule="auto"/>
    </w:pPr>
    <w:rPr>
      <w:rFonts w:ascii="Arial" w:hAnsi="Arial" w:cs="Arial"/>
      <w:color w:val="000000"/>
    </w:rPr>
  </w:style>
  <w:style w:type="character" w:customStyle="1" w:styleId="hgkelc">
    <w:name w:val="hgkelc"/>
    <w:basedOn w:val="Policepardfaut"/>
    <w:rsid w:val="00605FA9"/>
  </w:style>
  <w:style w:type="character" w:customStyle="1" w:styleId="Mentionnonrsolue1">
    <w:name w:val="Mention non résolue1"/>
    <w:basedOn w:val="Policepardfaut"/>
    <w:uiPriority w:val="99"/>
    <w:semiHidden/>
    <w:unhideWhenUsed/>
    <w:rsid w:val="00985807"/>
    <w:rPr>
      <w:color w:val="605E5C"/>
      <w:shd w:val="clear" w:color="auto" w:fill="E1DFDD"/>
    </w:rPr>
  </w:style>
  <w:style w:type="character" w:styleId="Mentionnonrsolue">
    <w:name w:val="Unresolved Mention"/>
    <w:basedOn w:val="Policepardfaut"/>
    <w:uiPriority w:val="99"/>
    <w:semiHidden/>
    <w:unhideWhenUsed/>
    <w:rsid w:val="001A0A3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8925631">
      <w:bodyDiv w:val="1"/>
      <w:marLeft w:val="0"/>
      <w:marRight w:val="0"/>
      <w:marTop w:val="0"/>
      <w:marBottom w:val="0"/>
      <w:divBdr>
        <w:top w:val="none" w:sz="0" w:space="0" w:color="auto"/>
        <w:left w:val="none" w:sz="0" w:space="0" w:color="auto"/>
        <w:bottom w:val="none" w:sz="0" w:space="0" w:color="auto"/>
        <w:right w:val="none" w:sz="0" w:space="0" w:color="auto"/>
      </w:divBdr>
    </w:div>
    <w:div w:id="549345128">
      <w:bodyDiv w:val="1"/>
      <w:marLeft w:val="0"/>
      <w:marRight w:val="0"/>
      <w:marTop w:val="0"/>
      <w:marBottom w:val="0"/>
      <w:divBdr>
        <w:top w:val="none" w:sz="0" w:space="0" w:color="auto"/>
        <w:left w:val="none" w:sz="0" w:space="0" w:color="auto"/>
        <w:bottom w:val="none" w:sz="0" w:space="0" w:color="auto"/>
        <w:right w:val="none" w:sz="0" w:space="0" w:color="auto"/>
      </w:divBdr>
    </w:div>
    <w:div w:id="843209809">
      <w:bodyDiv w:val="1"/>
      <w:marLeft w:val="0"/>
      <w:marRight w:val="0"/>
      <w:marTop w:val="0"/>
      <w:marBottom w:val="0"/>
      <w:divBdr>
        <w:top w:val="none" w:sz="0" w:space="0" w:color="auto"/>
        <w:left w:val="none" w:sz="0" w:space="0" w:color="auto"/>
        <w:bottom w:val="none" w:sz="0" w:space="0" w:color="auto"/>
        <w:right w:val="none" w:sz="0" w:space="0" w:color="auto"/>
      </w:divBdr>
    </w:div>
    <w:div w:id="864101065">
      <w:bodyDiv w:val="1"/>
      <w:marLeft w:val="0"/>
      <w:marRight w:val="0"/>
      <w:marTop w:val="0"/>
      <w:marBottom w:val="0"/>
      <w:divBdr>
        <w:top w:val="none" w:sz="0" w:space="0" w:color="auto"/>
        <w:left w:val="none" w:sz="0" w:space="0" w:color="auto"/>
        <w:bottom w:val="none" w:sz="0" w:space="0" w:color="auto"/>
        <w:right w:val="none" w:sz="0" w:space="0" w:color="auto"/>
      </w:divBdr>
    </w:div>
    <w:div w:id="1514222463">
      <w:bodyDiv w:val="1"/>
      <w:marLeft w:val="0"/>
      <w:marRight w:val="0"/>
      <w:marTop w:val="0"/>
      <w:marBottom w:val="0"/>
      <w:divBdr>
        <w:top w:val="none" w:sz="0" w:space="0" w:color="auto"/>
        <w:left w:val="none" w:sz="0" w:space="0" w:color="auto"/>
        <w:bottom w:val="none" w:sz="0" w:space="0" w:color="auto"/>
        <w:right w:val="none" w:sz="0" w:space="0" w:color="auto"/>
      </w:divBdr>
    </w:div>
    <w:div w:id="1753428030">
      <w:bodyDiv w:val="1"/>
      <w:marLeft w:val="0"/>
      <w:marRight w:val="0"/>
      <w:marTop w:val="0"/>
      <w:marBottom w:val="0"/>
      <w:divBdr>
        <w:top w:val="none" w:sz="0" w:space="0" w:color="auto"/>
        <w:left w:val="none" w:sz="0" w:space="0" w:color="auto"/>
        <w:bottom w:val="none" w:sz="0" w:space="0" w:color="auto"/>
        <w:right w:val="none" w:sz="0" w:space="0" w:color="auto"/>
      </w:divBdr>
      <w:divsChild>
        <w:div w:id="434793108">
          <w:marLeft w:val="0"/>
          <w:marRight w:val="0"/>
          <w:marTop w:val="0"/>
          <w:marBottom w:val="0"/>
          <w:divBdr>
            <w:top w:val="none" w:sz="0" w:space="0" w:color="auto"/>
            <w:left w:val="none" w:sz="0" w:space="0" w:color="auto"/>
            <w:bottom w:val="none" w:sz="0" w:space="0" w:color="auto"/>
            <w:right w:val="none" w:sz="0" w:space="0" w:color="auto"/>
          </w:divBdr>
        </w:div>
        <w:div w:id="941186097">
          <w:marLeft w:val="0"/>
          <w:marRight w:val="0"/>
          <w:marTop w:val="0"/>
          <w:marBottom w:val="0"/>
          <w:divBdr>
            <w:top w:val="none" w:sz="0" w:space="0" w:color="auto"/>
            <w:left w:val="none" w:sz="0" w:space="0" w:color="auto"/>
            <w:bottom w:val="none" w:sz="0" w:space="0" w:color="auto"/>
            <w:right w:val="none" w:sz="0" w:space="0" w:color="auto"/>
          </w:divBdr>
          <w:divsChild>
            <w:div w:id="1326665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412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image" Target="media/image8.png"/><Relationship Id="rId26" Type="http://schemas.openxmlformats.org/officeDocument/2006/relationships/hyperlink" Target="https://www.ncbi.nlm.nih.gov/protein/748701889" TargetMode="External"/><Relationship Id="rId3" Type="http://schemas.openxmlformats.org/officeDocument/2006/relationships/settings" Target="settings.xml"/><Relationship Id="rId21" Type="http://schemas.openxmlformats.org/officeDocument/2006/relationships/hyperlink" Target="https://www.frontiersin.org/journals/microbiology/articles/10.3389/fmicb.2023.1236254/full" TargetMode="External"/><Relationship Id="rId7" Type="http://schemas.openxmlformats.org/officeDocument/2006/relationships/hyperlink" Target="https://www.nature.com/articles/s41564-023-01549-x.epdf" TargetMode="External"/><Relationship Id="rId12" Type="http://schemas.openxmlformats.org/officeDocument/2006/relationships/hyperlink" Target="https://www.pedagogie.ac-nice.fr/svt/productions/geniegen2/" TargetMode="External"/><Relationship Id="rId17" Type="http://schemas.openxmlformats.org/officeDocument/2006/relationships/image" Target="media/image7.PNG"/><Relationship Id="rId25" Type="http://schemas.openxmlformats.org/officeDocument/2006/relationships/hyperlink" Target="https://alphafoldserver.com/" TargetMode="External"/><Relationship Id="rId2" Type="http://schemas.openxmlformats.org/officeDocument/2006/relationships/styles" Target="styles.xml"/><Relationship Id="rId16" Type="http://schemas.openxmlformats.org/officeDocument/2006/relationships/image" Target="media/image6.jpg"/><Relationship Id="rId20" Type="http://schemas.openxmlformats.org/officeDocument/2006/relationships/image" Target="media/image9.PNG"/><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last.ncbi.nlm.nih.gov/Blast.cgi" TargetMode="External"/><Relationship Id="rId24" Type="http://schemas.openxmlformats.org/officeDocument/2006/relationships/image" Target="media/image11.png"/><Relationship Id="rId5" Type="http://schemas.openxmlformats.org/officeDocument/2006/relationships/footnotes" Target="footnotes.xml"/><Relationship Id="rId15" Type="http://schemas.openxmlformats.org/officeDocument/2006/relationships/hyperlink" Target="https://www.nature.com/articles/nature06245" TargetMode="External"/><Relationship Id="rId23" Type="http://schemas.openxmlformats.org/officeDocument/2006/relationships/hyperlink" Target="https://www.nature.com/articles/s41564-023-01549-x.epdf" TargetMode="External"/><Relationship Id="rId28" Type="http://schemas.openxmlformats.org/officeDocument/2006/relationships/hyperlink" Target="https://libmol.org/" TargetMode="External"/><Relationship Id="rId10" Type="http://schemas.openxmlformats.org/officeDocument/2006/relationships/image" Target="media/image3.PNG"/><Relationship Id="rId19" Type="http://schemas.openxmlformats.org/officeDocument/2006/relationships/hyperlink" Target="https://www.nature.com/articles/s41564-023-01549-x.epdf"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image" Target="media/image10.PNG"/><Relationship Id="rId27" Type="http://schemas.openxmlformats.org/officeDocument/2006/relationships/image" Target="media/image12.png"/><Relationship Id="rId30"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1249</TotalTime>
  <Pages>10</Pages>
  <Words>2162</Words>
  <Characters>11894</Characters>
  <Application>Microsoft Office Word</Application>
  <DocSecurity>0</DocSecurity>
  <Lines>99</Lines>
  <Paragraphs>28</Paragraphs>
  <ScaleCrop>false</ScaleCrop>
  <HeadingPairs>
    <vt:vector size="2" baseType="variant">
      <vt:variant>
        <vt:lpstr>Titre</vt:lpstr>
      </vt:variant>
      <vt:variant>
        <vt:i4>1</vt:i4>
      </vt:variant>
    </vt:vector>
  </HeadingPairs>
  <TitlesOfParts>
    <vt:vector size="1" baseType="lpstr">
      <vt:lpstr/>
    </vt:vector>
  </TitlesOfParts>
  <Company>Grizli777</Company>
  <LinksUpToDate>false</LinksUpToDate>
  <CharactersWithSpaces>14028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Vincent Guili</dc:creator>
  <cp:lastModifiedBy>Vincent Guili</cp:lastModifiedBy>
  <cp:revision>66</cp:revision>
  <cp:lastPrinted>2024-06-15T08:53:00Z</cp:lastPrinted>
  <dcterms:created xsi:type="dcterms:W3CDTF">2024-06-20T10:20:00Z</dcterms:created>
  <dcterms:modified xsi:type="dcterms:W3CDTF">2025-06-20T20:07:00Z</dcterms:modified>
</cp:coreProperties>
</file>