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03" w:rsidRDefault="00F4263E" w:rsidP="00C02303">
      <w:pPr>
        <w:pBdr>
          <w:top w:val="single" w:sz="4" w:space="1" w:color="auto"/>
          <w:left w:val="single" w:sz="4" w:space="4" w:color="auto"/>
          <w:bottom w:val="single" w:sz="4" w:space="1" w:color="auto"/>
          <w:right w:val="single" w:sz="4" w:space="4" w:color="auto"/>
        </w:pBdr>
        <w:spacing w:line="240" w:lineRule="auto"/>
        <w:jc w:val="center"/>
      </w:pPr>
      <w:r>
        <w:t>A</w:t>
      </w:r>
      <w:r w:rsidR="0092705B">
        <w:t xml:space="preserve">ctivité cérébrale et mode d'action </w:t>
      </w:r>
      <w:r>
        <w:t xml:space="preserve">du </w:t>
      </w:r>
      <w:r w:rsidR="007637D7">
        <w:t>cannabis</w:t>
      </w:r>
    </w:p>
    <w:p w:rsidR="002E480A" w:rsidRDefault="002E480A" w:rsidP="00C02303">
      <w:pPr>
        <w:spacing w:line="240" w:lineRule="auto"/>
        <w:jc w:val="right"/>
        <w:rPr>
          <w:i/>
        </w:rPr>
      </w:pPr>
    </w:p>
    <w:p w:rsidR="0012475D" w:rsidRPr="0012475D" w:rsidRDefault="004A4EEF" w:rsidP="00C02303">
      <w:pPr>
        <w:pBdr>
          <w:bottom w:val="single" w:sz="4" w:space="1" w:color="auto"/>
        </w:pBdr>
        <w:spacing w:line="240" w:lineRule="auto"/>
        <w:rPr>
          <w:sz w:val="22"/>
        </w:rPr>
      </w:pPr>
      <w:r>
        <w:rPr>
          <w:sz w:val="22"/>
        </w:rPr>
        <w:t xml:space="preserve">Analyse de modèles moléculaires pour </w:t>
      </w:r>
      <w:r w:rsidR="007637D7">
        <w:rPr>
          <w:sz w:val="22"/>
        </w:rPr>
        <w:t>élucider le mécanisme d'action d'une molécule exogène comme le THC sur le circuit de la récompense</w:t>
      </w:r>
      <w:r w:rsidR="0012475D">
        <w:rPr>
          <w:sz w:val="22"/>
        </w:rPr>
        <w:t xml:space="preserve">. </w:t>
      </w:r>
    </w:p>
    <w:p w:rsidR="0012475D" w:rsidRDefault="0012475D" w:rsidP="00C02303">
      <w:pPr>
        <w:pBdr>
          <w:bottom w:val="single" w:sz="4" w:space="1" w:color="auto"/>
        </w:pBdr>
        <w:spacing w:line="240" w:lineRule="auto"/>
      </w:pPr>
    </w:p>
    <w:p w:rsidR="00C02303" w:rsidRPr="00C02303" w:rsidRDefault="00C02303" w:rsidP="00C02303">
      <w:pPr>
        <w:pBdr>
          <w:bottom w:val="single" w:sz="4" w:space="1" w:color="auto"/>
        </w:pBdr>
        <w:shd w:val="clear" w:color="auto" w:fill="8DB3E2" w:themeFill="text2" w:themeFillTint="66"/>
        <w:spacing w:after="120" w:line="240" w:lineRule="auto"/>
        <w:rPr>
          <w:b/>
          <w:sz w:val="22"/>
        </w:rPr>
      </w:pPr>
      <w:r w:rsidRPr="00C02303">
        <w:rPr>
          <w:b/>
          <w:sz w:val="22"/>
        </w:rPr>
        <w:t>Partie de programme</w:t>
      </w:r>
    </w:p>
    <w:p w:rsidR="00F76BCB" w:rsidRDefault="00F76BCB" w:rsidP="00C02303">
      <w:pPr>
        <w:spacing w:line="240" w:lineRule="auto"/>
        <w:rPr>
          <w:rFonts w:cstheme="minorHAnsi"/>
          <w:color w:val="17818E"/>
          <w:sz w:val="28"/>
        </w:rPr>
      </w:pPr>
      <w:r w:rsidRPr="00F76BCB">
        <w:rPr>
          <w:rFonts w:cstheme="minorHAnsi"/>
          <w:color w:val="17818E"/>
          <w:sz w:val="28"/>
        </w:rPr>
        <w:t xml:space="preserve">Programme de sciences de la vie et de la Terre de </w:t>
      </w:r>
      <w:r w:rsidR="009C5FA4">
        <w:rPr>
          <w:rFonts w:cstheme="minorHAnsi"/>
          <w:color w:val="17818E"/>
          <w:sz w:val="28"/>
        </w:rPr>
        <w:t>terminale</w:t>
      </w:r>
      <w:r w:rsidRPr="00F76BCB">
        <w:rPr>
          <w:rFonts w:cstheme="minorHAnsi"/>
          <w:color w:val="17818E"/>
          <w:sz w:val="28"/>
        </w:rPr>
        <w:t xml:space="preserve"> spécialité</w:t>
      </w:r>
    </w:p>
    <w:p w:rsidR="00687CCA" w:rsidRDefault="00687CCA" w:rsidP="009C5FA4">
      <w:pPr>
        <w:pStyle w:val="Heading3"/>
        <w:tabs>
          <w:tab w:val="left" w:pos="496"/>
          <w:tab w:val="left" w:pos="497"/>
        </w:tabs>
        <w:ind w:left="135" w:firstLine="0"/>
        <w:rPr>
          <w:rFonts w:asciiTheme="minorHAnsi" w:eastAsiaTheme="minorHAnsi" w:hAnsiTheme="minorHAnsi" w:cstheme="minorHAnsi"/>
          <w:b w:val="0"/>
          <w:bCs w:val="0"/>
          <w:color w:val="17818E"/>
          <w:sz w:val="28"/>
          <w:szCs w:val="24"/>
          <w:lang w:eastAsia="en-US" w:bidi="ar-SA"/>
        </w:rPr>
      </w:pPr>
      <w:r w:rsidRPr="00687CCA">
        <w:rPr>
          <w:rFonts w:asciiTheme="minorHAnsi" w:eastAsiaTheme="minorHAnsi" w:hAnsiTheme="minorHAnsi" w:cstheme="minorHAnsi"/>
          <w:b w:val="0"/>
          <w:bCs w:val="0"/>
          <w:color w:val="17818E"/>
          <w:sz w:val="28"/>
          <w:szCs w:val="24"/>
          <w:lang w:eastAsia="en-US" w:bidi="ar-SA"/>
        </w:rPr>
        <w:t>Corps humain et santé</w:t>
      </w:r>
    </w:p>
    <w:p w:rsidR="00C02303" w:rsidRPr="009C5FA4" w:rsidRDefault="00531704" w:rsidP="00531704">
      <w:pPr>
        <w:pStyle w:val="Heading3"/>
        <w:tabs>
          <w:tab w:val="left" w:pos="496"/>
          <w:tab w:val="left" w:pos="497"/>
        </w:tabs>
        <w:ind w:firstLine="0"/>
      </w:pPr>
      <w:r>
        <w:rPr>
          <w:color w:val="17818E"/>
        </w:rPr>
        <w:t>Comportements, mouvement et système</w:t>
      </w:r>
      <w:r>
        <w:rPr>
          <w:color w:val="17818E"/>
          <w:spacing w:val="-3"/>
        </w:rPr>
        <w:t xml:space="preserve"> </w:t>
      </w:r>
      <w:r>
        <w:rPr>
          <w:color w:val="17818E"/>
        </w:rPr>
        <w:t>nerveux</w:t>
      </w: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65"/>
      </w:tblGrid>
      <w:tr w:rsidR="00C02303" w:rsidRPr="002E480A" w:rsidTr="00C02303">
        <w:trPr>
          <w:trHeight w:val="429"/>
        </w:trPr>
        <w:tc>
          <w:tcPr>
            <w:tcW w:w="8965" w:type="dxa"/>
          </w:tcPr>
          <w:p w:rsidR="00C02303" w:rsidRPr="009C5FA4" w:rsidRDefault="00531704" w:rsidP="00605FA9">
            <w:pPr>
              <w:pStyle w:val="TableParagraph"/>
              <w:spacing w:before="84"/>
              <w:rPr>
                <w:rFonts w:asciiTheme="minorHAnsi" w:hAnsiTheme="minorHAnsi" w:cstheme="minorHAnsi"/>
                <w:b/>
                <w:lang w:val="fr-FR"/>
              </w:rPr>
            </w:pPr>
            <w:r w:rsidRPr="00531704">
              <w:rPr>
                <w:b/>
                <w:color w:val="17818E"/>
                <w:lang w:val="fr-FR"/>
              </w:rPr>
              <w:t>Le cerveau, un organe fragile à préserver</w:t>
            </w:r>
          </w:p>
        </w:tc>
      </w:tr>
      <w:tr w:rsidR="00C02303" w:rsidRPr="002E480A" w:rsidTr="00C02303">
        <w:trPr>
          <w:trHeight w:val="549"/>
        </w:trPr>
        <w:tc>
          <w:tcPr>
            <w:tcW w:w="8965" w:type="dxa"/>
          </w:tcPr>
          <w:p w:rsidR="00C02303" w:rsidRPr="002E480A" w:rsidRDefault="00531704" w:rsidP="00687CCA">
            <w:pPr>
              <w:pStyle w:val="Corpsdetexte"/>
              <w:spacing w:before="59"/>
              <w:ind w:right="157"/>
              <w:rPr>
                <w:rFonts w:asciiTheme="minorHAnsi" w:hAnsiTheme="minorHAnsi" w:cstheme="minorHAnsi"/>
                <w:lang w:val="fr-FR"/>
              </w:rPr>
            </w:pPr>
            <w:r w:rsidRPr="00531704">
              <w:rPr>
                <w:rFonts w:asciiTheme="minorHAnsi" w:hAnsiTheme="minorHAnsi" w:cstheme="minorHAnsi"/>
                <w:lang w:val="fr-FR"/>
              </w:rPr>
              <w:t>La prise de substances exogènes (alcool, drogues) peut entraîner la perturbation des messages nerveux et provoquer des comportements addictifs.</w:t>
            </w:r>
          </w:p>
        </w:tc>
      </w:tr>
      <w:tr w:rsidR="00C02303" w:rsidRPr="002E480A" w:rsidTr="00605FA9">
        <w:trPr>
          <w:trHeight w:val="549"/>
        </w:trPr>
        <w:tc>
          <w:tcPr>
            <w:tcW w:w="8965" w:type="dxa"/>
          </w:tcPr>
          <w:p w:rsidR="00C02303" w:rsidRPr="002E480A" w:rsidRDefault="00C02303" w:rsidP="00C02303">
            <w:pPr>
              <w:pStyle w:val="Corpsdetexte"/>
              <w:spacing w:before="59"/>
              <w:ind w:right="157"/>
              <w:rPr>
                <w:rFonts w:asciiTheme="minorHAnsi" w:hAnsiTheme="minorHAnsi" w:cstheme="minorHAnsi"/>
                <w:b/>
                <w:lang w:val="fr-FR"/>
              </w:rPr>
            </w:pPr>
            <w:r w:rsidRPr="002E480A">
              <w:rPr>
                <w:rFonts w:asciiTheme="minorHAnsi" w:hAnsiTheme="minorHAnsi" w:cstheme="minorHAnsi"/>
                <w:b/>
                <w:lang w:val="fr-FR"/>
              </w:rPr>
              <w:t>Capacités</w:t>
            </w:r>
          </w:p>
          <w:p w:rsidR="00531704" w:rsidRPr="00531704" w:rsidRDefault="00531704" w:rsidP="00531704">
            <w:pPr>
              <w:pStyle w:val="Corpsdetexte"/>
              <w:tabs>
                <w:tab w:val="left" w:pos="200"/>
              </w:tabs>
              <w:spacing w:before="14" w:line="225" w:lineRule="auto"/>
              <w:ind w:left="199" w:right="32"/>
              <w:rPr>
                <w:rFonts w:asciiTheme="minorHAnsi" w:hAnsiTheme="minorHAnsi" w:cstheme="minorHAnsi"/>
                <w:lang w:val="fr-FR"/>
              </w:rPr>
            </w:pPr>
            <w:r w:rsidRPr="00531704">
              <w:rPr>
                <w:rFonts w:asciiTheme="minorHAnsi" w:hAnsiTheme="minorHAnsi" w:cstheme="minorHAnsi"/>
                <w:lang w:val="fr-FR"/>
              </w:rPr>
              <w:t>Extraire des informations pour comprendre certains comportements addictifs face à des molécules exogènes.</w:t>
            </w:r>
          </w:p>
          <w:p w:rsidR="00687CCA" w:rsidRPr="002E480A" w:rsidRDefault="00531704" w:rsidP="00531704">
            <w:pPr>
              <w:pStyle w:val="Corpsdetexte"/>
              <w:tabs>
                <w:tab w:val="left" w:pos="200"/>
              </w:tabs>
              <w:spacing w:before="14" w:line="225" w:lineRule="auto"/>
              <w:ind w:left="199" w:right="32"/>
              <w:jc w:val="left"/>
              <w:rPr>
                <w:rFonts w:asciiTheme="minorHAnsi" w:hAnsiTheme="minorHAnsi" w:cstheme="minorHAnsi"/>
                <w:lang w:val="fr-FR"/>
              </w:rPr>
            </w:pPr>
            <w:r w:rsidRPr="00531704">
              <w:rPr>
                <w:rFonts w:asciiTheme="minorHAnsi" w:hAnsiTheme="minorHAnsi" w:cstheme="minorHAnsi"/>
                <w:lang w:val="fr-FR"/>
              </w:rPr>
              <w:t>Utiliser un logiciel de modélisation et visualis</w:t>
            </w:r>
            <w:r>
              <w:rPr>
                <w:rFonts w:asciiTheme="minorHAnsi" w:hAnsiTheme="minorHAnsi" w:cstheme="minorHAnsi"/>
                <w:lang w:val="fr-FR"/>
              </w:rPr>
              <w:t xml:space="preserve">ation moléculaire pour comparer </w:t>
            </w:r>
            <w:r w:rsidRPr="00531704">
              <w:rPr>
                <w:rFonts w:asciiTheme="minorHAnsi" w:hAnsiTheme="minorHAnsi" w:cstheme="minorHAnsi"/>
                <w:lang w:val="fr-FR"/>
              </w:rPr>
              <w:t>neurotransmetteurs et molécules exogènes.</w:t>
            </w:r>
          </w:p>
        </w:tc>
      </w:tr>
    </w:tbl>
    <w:p w:rsidR="00C02303" w:rsidRDefault="00C02303" w:rsidP="00C02303">
      <w:pPr>
        <w:spacing w:line="240" w:lineRule="auto"/>
      </w:pPr>
    </w:p>
    <w:p w:rsidR="00C02303" w:rsidRDefault="00C02303" w:rsidP="00C02303">
      <w:pPr>
        <w:spacing w:line="240" w:lineRule="auto"/>
      </w:pPr>
    </w:p>
    <w:p w:rsidR="00C02303" w:rsidRPr="00A77F9F" w:rsidRDefault="009C5FA4" w:rsidP="00C02303">
      <w:pPr>
        <w:pBdr>
          <w:bottom w:val="single" w:sz="4" w:space="1" w:color="auto"/>
        </w:pBdr>
        <w:shd w:val="clear" w:color="auto" w:fill="8DB3E2" w:themeFill="text2" w:themeFillTint="66"/>
        <w:spacing w:after="120" w:line="240" w:lineRule="auto"/>
        <w:rPr>
          <w:b/>
          <w:sz w:val="22"/>
          <w:szCs w:val="22"/>
        </w:rPr>
      </w:pPr>
      <w:r w:rsidRPr="00A77F9F">
        <w:rPr>
          <w:b/>
          <w:sz w:val="22"/>
          <w:szCs w:val="22"/>
        </w:rPr>
        <w:t>Mise en situation et objectif</w:t>
      </w:r>
    </w:p>
    <w:p w:rsidR="00C02303" w:rsidRPr="00A77F9F" w:rsidRDefault="00C02303" w:rsidP="00C02303">
      <w:pPr>
        <w:spacing w:line="240" w:lineRule="auto"/>
        <w:jc w:val="both"/>
        <w:rPr>
          <w:sz w:val="22"/>
          <w:szCs w:val="22"/>
        </w:rPr>
      </w:pPr>
    </w:p>
    <w:p w:rsidR="0013659C" w:rsidRDefault="0013659C" w:rsidP="008F1B37">
      <w:pPr>
        <w:pStyle w:val="Paragraphedeliste"/>
        <w:tabs>
          <w:tab w:val="left" w:pos="5670"/>
        </w:tabs>
        <w:spacing w:before="120" w:after="120" w:line="240" w:lineRule="auto"/>
        <w:ind w:left="0"/>
        <w:contextualSpacing w:val="0"/>
        <w:jc w:val="both"/>
        <w:rPr>
          <w:sz w:val="22"/>
        </w:rPr>
      </w:pPr>
      <w:r w:rsidRPr="0013659C">
        <w:rPr>
          <w:sz w:val="22"/>
        </w:rPr>
        <w:t>Le cannabis est, de loin, la drogue illicite la plus consommée en France. Environ 48 % des jeunes de 17 ans déclarent avoir expérimenté l'usage du cannabis et 9 % d'entre eux sont des fumeurs réguliers. Certains adolescents éprouvent une véritable addiction vis-à-vis de cette drogue. La principale molécule active du cannabis est le THC (Δ-9-tétrahydrocannabinol).</w:t>
      </w:r>
    </w:p>
    <w:p w:rsidR="009C5FA4" w:rsidRPr="00A77F9F" w:rsidRDefault="009C5FA4" w:rsidP="008F1B37">
      <w:pPr>
        <w:pStyle w:val="Paragraphedeliste"/>
        <w:tabs>
          <w:tab w:val="left" w:pos="5670"/>
        </w:tabs>
        <w:spacing w:before="120" w:after="120" w:line="240" w:lineRule="auto"/>
        <w:ind w:left="0"/>
        <w:contextualSpacing w:val="0"/>
        <w:jc w:val="both"/>
        <w:rPr>
          <w:b/>
          <w:sz w:val="22"/>
          <w:szCs w:val="22"/>
        </w:rPr>
      </w:pPr>
      <w:r w:rsidRPr="00A77F9F">
        <w:rPr>
          <w:b/>
          <w:sz w:val="22"/>
          <w:szCs w:val="22"/>
        </w:rPr>
        <w:t xml:space="preserve">À partir de données </w:t>
      </w:r>
      <w:r w:rsidR="0013659C">
        <w:rPr>
          <w:b/>
          <w:sz w:val="22"/>
          <w:szCs w:val="22"/>
        </w:rPr>
        <w:t xml:space="preserve">documentaires et </w:t>
      </w:r>
      <w:r w:rsidR="00976659">
        <w:rPr>
          <w:b/>
          <w:sz w:val="22"/>
          <w:szCs w:val="22"/>
        </w:rPr>
        <w:t>de modèles moléculaires</w:t>
      </w:r>
      <w:r w:rsidRPr="00A77F9F">
        <w:rPr>
          <w:b/>
          <w:sz w:val="22"/>
          <w:szCs w:val="22"/>
        </w:rPr>
        <w:t xml:space="preserve">, on cherche à </w:t>
      </w:r>
      <w:r w:rsidR="0013659C" w:rsidRPr="0013659C">
        <w:rPr>
          <w:b/>
          <w:sz w:val="22"/>
          <w:szCs w:val="22"/>
        </w:rPr>
        <w:t>comprendre comment une molécule exogène, comme le THC, peut perturber le fo</w:t>
      </w:r>
      <w:r w:rsidR="0013659C">
        <w:rPr>
          <w:b/>
          <w:sz w:val="22"/>
          <w:szCs w:val="22"/>
        </w:rPr>
        <w:t>nctionnement du système nerveux</w:t>
      </w:r>
      <w:r w:rsidR="00976659">
        <w:rPr>
          <w:b/>
          <w:sz w:val="22"/>
          <w:szCs w:val="22"/>
        </w:rPr>
        <w:t>.</w:t>
      </w:r>
    </w:p>
    <w:p w:rsidR="009C5FA4" w:rsidRPr="00A77F9F" w:rsidRDefault="009C5FA4" w:rsidP="00C02303">
      <w:pPr>
        <w:rPr>
          <w:sz w:val="22"/>
          <w:szCs w:val="22"/>
        </w:rPr>
      </w:pPr>
    </w:p>
    <w:p w:rsidR="00725DF6" w:rsidRDefault="00725DF6">
      <w:pPr>
        <w:rPr>
          <w:b/>
          <w:sz w:val="22"/>
          <w:szCs w:val="22"/>
        </w:rPr>
      </w:pPr>
      <w:r>
        <w:rPr>
          <w:b/>
          <w:sz w:val="22"/>
          <w:szCs w:val="22"/>
        </w:rPr>
        <w:br w:type="page"/>
      </w:r>
    </w:p>
    <w:p w:rsidR="00C02303" w:rsidRPr="00A77F9F" w:rsidRDefault="0013659C" w:rsidP="00B4449C">
      <w:pPr>
        <w:pBdr>
          <w:bottom w:val="single" w:sz="4" w:space="1" w:color="auto"/>
        </w:pBdr>
        <w:shd w:val="clear" w:color="auto" w:fill="8DB3E2" w:themeFill="text2" w:themeFillTint="66"/>
        <w:spacing w:after="120" w:line="240" w:lineRule="auto"/>
        <w:rPr>
          <w:b/>
          <w:sz w:val="22"/>
          <w:szCs w:val="22"/>
        </w:rPr>
      </w:pPr>
      <w:r>
        <w:rPr>
          <w:b/>
          <w:sz w:val="22"/>
          <w:szCs w:val="22"/>
        </w:rPr>
        <w:lastRenderedPageBreak/>
        <w:t>Ressources à disposition</w:t>
      </w:r>
    </w:p>
    <w:p w:rsidR="00B4449C" w:rsidRDefault="00B4449C" w:rsidP="00C02303">
      <w:pPr>
        <w:spacing w:line="240" w:lineRule="auto"/>
        <w:rPr>
          <w:b/>
          <w:sz w:val="22"/>
        </w:rPr>
      </w:pPr>
    </w:p>
    <w:p w:rsidR="00B4449C" w:rsidRPr="00DB14A5" w:rsidRDefault="00B4449C" w:rsidP="00C02303">
      <w:pPr>
        <w:spacing w:line="240" w:lineRule="auto"/>
        <w:rPr>
          <w:sz w:val="2"/>
        </w:rPr>
      </w:pPr>
    </w:p>
    <w:tbl>
      <w:tblPr>
        <w:tblStyle w:val="Grilledutableau"/>
        <w:tblW w:w="9606" w:type="dxa"/>
        <w:tblLayout w:type="fixed"/>
        <w:tblLook w:val="04A0"/>
      </w:tblPr>
      <w:tblGrid>
        <w:gridCol w:w="9606"/>
      </w:tblGrid>
      <w:tr w:rsidR="00C02303" w:rsidRPr="000F53A6" w:rsidTr="00B4449C">
        <w:trPr>
          <w:trHeight w:val="3747"/>
        </w:trPr>
        <w:tc>
          <w:tcPr>
            <w:tcW w:w="9606" w:type="dxa"/>
            <w:tcBorders>
              <w:top w:val="single" w:sz="4" w:space="0" w:color="auto"/>
              <w:bottom w:val="single" w:sz="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87"/>
              <w:gridCol w:w="4688"/>
            </w:tblGrid>
            <w:tr w:rsidR="00531704" w:rsidTr="00531704">
              <w:tc>
                <w:tcPr>
                  <w:tcW w:w="4687" w:type="dxa"/>
                </w:tcPr>
                <w:p w:rsidR="00531704" w:rsidRDefault="00531704" w:rsidP="00531704">
                  <w:pPr>
                    <w:spacing w:after="120"/>
                    <w:jc w:val="center"/>
                    <w:rPr>
                      <w:b/>
                      <w:bCs/>
                      <w:sz w:val="22"/>
                      <w:szCs w:val="22"/>
                    </w:rPr>
                  </w:pPr>
                  <w:r>
                    <w:rPr>
                      <w:b/>
                      <w:bCs/>
                      <w:noProof/>
                      <w:sz w:val="22"/>
                      <w:szCs w:val="22"/>
                      <w:lang w:eastAsia="fr-FR"/>
                    </w:rPr>
                    <w:drawing>
                      <wp:inline distT="0" distB="0" distL="0" distR="0">
                        <wp:extent cx="2895973" cy="2217063"/>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895973" cy="2217063"/>
                                </a:xfrm>
                                <a:prstGeom prst="rect">
                                  <a:avLst/>
                                </a:prstGeom>
                                <a:noFill/>
                              </pic:spPr>
                            </pic:pic>
                          </a:graphicData>
                        </a:graphic>
                      </wp:inline>
                    </w:drawing>
                  </w:r>
                </w:p>
                <w:p w:rsidR="00531704" w:rsidRDefault="00531704" w:rsidP="00531704">
                  <w:pPr>
                    <w:spacing w:after="120"/>
                    <w:jc w:val="center"/>
                    <w:rPr>
                      <w:b/>
                      <w:sz w:val="22"/>
                      <w:szCs w:val="22"/>
                    </w:rPr>
                  </w:pPr>
                  <w:r w:rsidRPr="00531704">
                    <w:rPr>
                      <w:b/>
                      <w:bCs/>
                      <w:sz w:val="22"/>
                      <w:szCs w:val="22"/>
                    </w:rPr>
                    <w:t>Transmission nerveuse en absence de drogue</w:t>
                  </w:r>
                </w:p>
              </w:tc>
              <w:tc>
                <w:tcPr>
                  <w:tcW w:w="4688" w:type="dxa"/>
                </w:tcPr>
                <w:p w:rsidR="00531704" w:rsidRDefault="00531704" w:rsidP="00531704">
                  <w:pPr>
                    <w:spacing w:after="120"/>
                    <w:jc w:val="center"/>
                    <w:rPr>
                      <w:b/>
                      <w:bCs/>
                      <w:sz w:val="22"/>
                      <w:szCs w:val="22"/>
                    </w:rPr>
                  </w:pPr>
                  <w:r>
                    <w:rPr>
                      <w:b/>
                      <w:bCs/>
                      <w:noProof/>
                      <w:sz w:val="22"/>
                      <w:szCs w:val="22"/>
                      <w:lang w:eastAsia="fr-FR"/>
                    </w:rPr>
                    <w:drawing>
                      <wp:inline distT="0" distB="0" distL="0" distR="0">
                        <wp:extent cx="2260105" cy="2205480"/>
                        <wp:effectExtent l="19050" t="0" r="6845"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60105" cy="2205480"/>
                                </a:xfrm>
                                <a:prstGeom prst="rect">
                                  <a:avLst/>
                                </a:prstGeom>
                                <a:noFill/>
                              </pic:spPr>
                            </pic:pic>
                          </a:graphicData>
                        </a:graphic>
                      </wp:inline>
                    </w:drawing>
                  </w:r>
                </w:p>
                <w:p w:rsidR="00531704" w:rsidRDefault="00531704" w:rsidP="00531704">
                  <w:pPr>
                    <w:spacing w:after="120"/>
                    <w:jc w:val="center"/>
                    <w:rPr>
                      <w:b/>
                      <w:sz w:val="22"/>
                      <w:szCs w:val="22"/>
                    </w:rPr>
                  </w:pPr>
                  <w:r w:rsidRPr="00531704">
                    <w:rPr>
                      <w:b/>
                      <w:bCs/>
                      <w:sz w:val="22"/>
                      <w:szCs w:val="22"/>
                    </w:rPr>
                    <w:t>Modes d’action des drogues</w:t>
                  </w:r>
                </w:p>
              </w:tc>
            </w:tr>
          </w:tbl>
          <w:p w:rsidR="00531704" w:rsidRPr="00531704" w:rsidRDefault="00531704" w:rsidP="00531704">
            <w:pPr>
              <w:spacing w:after="120"/>
              <w:rPr>
                <w:sz w:val="22"/>
                <w:szCs w:val="22"/>
              </w:rPr>
            </w:pPr>
            <w:r w:rsidRPr="00531704">
              <w:rPr>
                <w:sz w:val="22"/>
                <w:szCs w:val="22"/>
              </w:rPr>
              <w:t>De façon générale, les drogues ont des formes moléculaires qui ressemblent à celles des neurotransmetteurs ou neuromodulateurs naturellement présents dans le cerveau. Les drogues peuvent donc prendre leur place, mais sans être facilement détruites ou éliminées. Du coup la transmission nerveuse dans les synapses est perturbée, et tout le fonctionnement du cerveau est changé.</w:t>
            </w:r>
          </w:p>
          <w:p w:rsidR="00531704" w:rsidRDefault="00B4449C" w:rsidP="00531704">
            <w:pPr>
              <w:spacing w:after="120"/>
              <w:rPr>
                <w:sz w:val="22"/>
              </w:rPr>
            </w:pPr>
            <w:r w:rsidRPr="00A77F9F">
              <w:rPr>
                <w:b/>
                <w:sz w:val="22"/>
                <w:szCs w:val="22"/>
              </w:rPr>
              <w:t>Document</w:t>
            </w:r>
            <w:r w:rsidR="00C02303" w:rsidRPr="00A77F9F">
              <w:rPr>
                <w:sz w:val="22"/>
                <w:szCs w:val="22"/>
              </w:rPr>
              <w:t xml:space="preserve"> </w:t>
            </w:r>
            <w:r w:rsidR="00F76BCB" w:rsidRPr="00A77F9F">
              <w:rPr>
                <w:b/>
                <w:sz w:val="22"/>
                <w:szCs w:val="22"/>
              </w:rPr>
              <w:t xml:space="preserve">1 </w:t>
            </w:r>
            <w:r w:rsidR="00C02303" w:rsidRPr="00A77F9F">
              <w:rPr>
                <w:sz w:val="22"/>
                <w:szCs w:val="22"/>
              </w:rPr>
              <w:t>:</w:t>
            </w:r>
            <w:r w:rsidR="00B0554B">
              <w:rPr>
                <w:sz w:val="22"/>
                <w:szCs w:val="22"/>
              </w:rPr>
              <w:t xml:space="preserve"> </w:t>
            </w:r>
            <w:r w:rsidR="00531704" w:rsidRPr="00531704">
              <w:rPr>
                <w:sz w:val="22"/>
              </w:rPr>
              <w:t>Différents mécanismes d'action d'une drogue sur la transmission synaptique</w:t>
            </w:r>
          </w:p>
          <w:p w:rsidR="002E31D6" w:rsidRDefault="002E31D6" w:rsidP="00531704">
            <w:pPr>
              <w:spacing w:after="120"/>
              <w:rPr>
                <w:sz w:val="20"/>
              </w:rPr>
            </w:pPr>
          </w:p>
          <w:tbl>
            <w:tblPr>
              <w:tblStyle w:val="Grilledutableau"/>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82"/>
              <w:gridCol w:w="4135"/>
            </w:tblGrid>
            <w:tr w:rsidR="00C77FB2" w:rsidTr="00C77FB2">
              <w:tc>
                <w:tcPr>
                  <w:tcW w:w="5382" w:type="dxa"/>
                </w:tcPr>
                <w:p w:rsidR="00C77FB2" w:rsidRDefault="00B26D02" w:rsidP="00C77FB2">
                  <w:pPr>
                    <w:spacing w:after="120"/>
                    <w:rPr>
                      <w:noProof/>
                      <w:sz w:val="22"/>
                      <w:szCs w:val="22"/>
                      <w:lang w:eastAsia="fr-FR"/>
                    </w:rPr>
                  </w:pPr>
                  <w:r>
                    <w:rPr>
                      <w:noProof/>
                      <w:sz w:val="20"/>
                      <w:szCs w:val="22"/>
                      <w:lang w:eastAsia="fr-FR"/>
                    </w:rPr>
                    <w:drawing>
                      <wp:inline distT="0" distB="0" distL="0" distR="0">
                        <wp:extent cx="3280410" cy="2491105"/>
                        <wp:effectExtent l="19050" t="0" r="0" b="0"/>
                        <wp:docPr id="3" name="Image 2" descr="circuit-recomp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recompense.png"/>
                                <pic:cNvPicPr/>
                              </pic:nvPicPr>
                              <pic:blipFill>
                                <a:blip r:embed="rId9" cstate="print"/>
                                <a:stretch>
                                  <a:fillRect/>
                                </a:stretch>
                              </pic:blipFill>
                              <pic:spPr>
                                <a:xfrm>
                                  <a:off x="0" y="0"/>
                                  <a:ext cx="3280410" cy="2491105"/>
                                </a:xfrm>
                                <a:prstGeom prst="rect">
                                  <a:avLst/>
                                </a:prstGeom>
                              </pic:spPr>
                            </pic:pic>
                          </a:graphicData>
                        </a:graphic>
                      </wp:inline>
                    </w:drawing>
                  </w:r>
                  <w:r w:rsidR="00C77FB2" w:rsidRPr="00C77FB2">
                    <w:rPr>
                      <w:sz w:val="20"/>
                      <w:szCs w:val="22"/>
                    </w:rPr>
                    <w:t xml:space="preserve"> </w:t>
                  </w:r>
                </w:p>
              </w:tc>
              <w:tc>
                <w:tcPr>
                  <w:tcW w:w="4135" w:type="dxa"/>
                </w:tcPr>
                <w:p w:rsidR="00C77FB2" w:rsidRDefault="00C77FB2" w:rsidP="00C77FB2">
                  <w:pPr>
                    <w:spacing w:after="120"/>
                    <w:rPr>
                      <w:sz w:val="20"/>
                      <w:szCs w:val="22"/>
                    </w:rPr>
                  </w:pPr>
                  <w:r w:rsidRPr="002E31D6">
                    <w:rPr>
                      <w:sz w:val="22"/>
                      <w:szCs w:val="22"/>
                    </w:rPr>
                    <w:t>Le circuit de la récompense associe l’exécution de fonctions vitales à de fortes sensations de satisfaction. Les informations sensorielles qui arrivent à l’aire tegmentale ventrale sont traitées et transmises au noyau accumbens, au septum, à l’amygdale et au cortex préfrontal. Ces aires cérébrales sont connectées aux zones qui contrôlent les mouvements, l’attention, les émotions et la mémoire.</w:t>
                  </w:r>
                  <w:r w:rsidRPr="00C77FB2">
                    <w:rPr>
                      <w:sz w:val="20"/>
                      <w:szCs w:val="22"/>
                    </w:rPr>
                    <w:t xml:space="preserve"> </w:t>
                  </w:r>
                </w:p>
                <w:p w:rsidR="00C77FB2" w:rsidRPr="00C77FB2" w:rsidRDefault="00C77FB2" w:rsidP="00C77FB2">
                  <w:pPr>
                    <w:spacing w:after="120"/>
                    <w:ind w:right="-89"/>
                    <w:rPr>
                      <w:sz w:val="20"/>
                      <w:szCs w:val="22"/>
                    </w:rPr>
                  </w:pPr>
                  <w:r w:rsidRPr="00C77FB2">
                    <w:rPr>
                      <w:sz w:val="18"/>
                      <w:szCs w:val="22"/>
                    </w:rPr>
                    <w:t xml:space="preserve">Image : </w:t>
                  </w:r>
                  <w:hyperlink r:id="rId10" w:history="1">
                    <w:r w:rsidRPr="00C77FB2">
                      <w:rPr>
                        <w:rStyle w:val="Lienhypertexte"/>
                        <w:sz w:val="18"/>
                        <w:szCs w:val="22"/>
                      </w:rPr>
                      <w:t>https://doi.org/10.1016/j.neuron.2011.02.016</w:t>
                    </w:r>
                  </w:hyperlink>
                </w:p>
                <w:p w:rsidR="00C77FB2" w:rsidRPr="00C77FB2" w:rsidRDefault="00C77FB2" w:rsidP="00605FA9">
                  <w:pPr>
                    <w:rPr>
                      <w:sz w:val="22"/>
                    </w:rPr>
                  </w:pPr>
                </w:p>
              </w:tc>
            </w:tr>
            <w:tr w:rsidR="002E31D6" w:rsidTr="00C77FB2">
              <w:tc>
                <w:tcPr>
                  <w:tcW w:w="5382" w:type="dxa"/>
                </w:tcPr>
                <w:p w:rsidR="00C77FB2" w:rsidRDefault="00C77FB2" w:rsidP="00C77FB2">
                  <w:pPr>
                    <w:spacing w:after="120"/>
                    <w:ind w:left="-255"/>
                    <w:rPr>
                      <w:sz w:val="22"/>
                    </w:rPr>
                  </w:pPr>
                  <w:r w:rsidRPr="00C77FB2">
                    <w:rPr>
                      <w:noProof/>
                      <w:sz w:val="20"/>
                      <w:szCs w:val="22"/>
                      <w:lang w:eastAsia="fr-FR"/>
                    </w:rPr>
                    <w:drawing>
                      <wp:inline distT="0" distB="0" distL="0" distR="0">
                        <wp:extent cx="3490803" cy="1800000"/>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90803" cy="1800000"/>
                                </a:xfrm>
                                <a:prstGeom prst="rect">
                                  <a:avLst/>
                                </a:prstGeom>
                                <a:noFill/>
                              </pic:spPr>
                            </pic:pic>
                          </a:graphicData>
                        </a:graphic>
                      </wp:inline>
                    </w:drawing>
                  </w:r>
                </w:p>
              </w:tc>
              <w:tc>
                <w:tcPr>
                  <w:tcW w:w="4135" w:type="dxa"/>
                </w:tcPr>
                <w:p w:rsidR="002E31D6" w:rsidRDefault="002E31D6" w:rsidP="00605FA9">
                  <w:pPr>
                    <w:rPr>
                      <w:sz w:val="22"/>
                    </w:rPr>
                  </w:pPr>
                  <w:r w:rsidRPr="002E31D6">
                    <w:rPr>
                      <w:sz w:val="22"/>
                    </w:rPr>
                    <w:t xml:space="preserve">Le circuit de la récompense est constitué d'un réseau de neurones interconnectés qui relient les différentes zones du cerveau entre elles. Les neurones à </w:t>
                  </w:r>
                  <w:r w:rsidRPr="002E31D6">
                    <w:rPr>
                      <w:b/>
                      <w:sz w:val="22"/>
                    </w:rPr>
                    <w:t>dopamine</w:t>
                  </w:r>
                  <w:r w:rsidRPr="002E31D6">
                    <w:rPr>
                      <w:sz w:val="22"/>
                    </w:rPr>
                    <w:t xml:space="preserve"> ou </w:t>
                  </w:r>
                  <w:r w:rsidRPr="002E31D6">
                    <w:rPr>
                      <w:b/>
                      <w:sz w:val="22"/>
                    </w:rPr>
                    <w:t>glutamate</w:t>
                  </w:r>
                  <w:r w:rsidRPr="002E31D6">
                    <w:rPr>
                      <w:sz w:val="22"/>
                    </w:rPr>
                    <w:t xml:space="preserve"> sont </w:t>
                  </w:r>
                  <w:r w:rsidRPr="00E74783">
                    <w:rPr>
                      <w:sz w:val="22"/>
                    </w:rPr>
                    <w:t>excitateurs</w:t>
                  </w:r>
                  <w:r w:rsidRPr="002E31D6">
                    <w:rPr>
                      <w:sz w:val="22"/>
                    </w:rPr>
                    <w:t xml:space="preserve"> du réseau, alors que ceux à </w:t>
                  </w:r>
                  <w:r w:rsidRPr="002E31D6">
                    <w:rPr>
                      <w:b/>
                      <w:sz w:val="22"/>
                    </w:rPr>
                    <w:t>GABA</w:t>
                  </w:r>
                  <w:r w:rsidRPr="002E31D6">
                    <w:rPr>
                      <w:sz w:val="22"/>
                    </w:rPr>
                    <w:t xml:space="preserve"> sont </w:t>
                  </w:r>
                  <w:r w:rsidRPr="00E74783">
                    <w:rPr>
                      <w:sz w:val="22"/>
                    </w:rPr>
                    <w:t>inhibiteurs</w:t>
                  </w:r>
                  <w:r w:rsidRPr="002E31D6">
                    <w:rPr>
                      <w:sz w:val="22"/>
                    </w:rPr>
                    <w:t>. De plus des molécules modulatrices peuvent se fixer sur les boutons synaptiques et réguler la transmission synaptique, soit en la stimulant, soit en la bloquant. Par exemple l'</w:t>
                  </w:r>
                  <w:r w:rsidRPr="002E31D6">
                    <w:rPr>
                      <w:b/>
                      <w:sz w:val="22"/>
                    </w:rPr>
                    <w:t>anandamide</w:t>
                  </w:r>
                  <w:r w:rsidRPr="002E31D6">
                    <w:rPr>
                      <w:sz w:val="22"/>
                    </w:rPr>
                    <w:t xml:space="preserve"> inhibe la synapse à GABA.</w:t>
                  </w:r>
                </w:p>
              </w:tc>
            </w:tr>
          </w:tbl>
          <w:p w:rsidR="00B0554B" w:rsidRDefault="00B0554B" w:rsidP="00C77FB2">
            <w:pPr>
              <w:tabs>
                <w:tab w:val="left" w:pos="1418"/>
              </w:tabs>
              <w:rPr>
                <w:sz w:val="20"/>
              </w:rPr>
            </w:pPr>
            <w:r w:rsidRPr="00A77F9F">
              <w:rPr>
                <w:b/>
                <w:sz w:val="22"/>
                <w:szCs w:val="22"/>
              </w:rPr>
              <w:lastRenderedPageBreak/>
              <w:t>Document</w:t>
            </w:r>
            <w:r w:rsidRPr="00A77F9F">
              <w:rPr>
                <w:sz w:val="22"/>
                <w:szCs w:val="22"/>
              </w:rPr>
              <w:t xml:space="preserve"> </w:t>
            </w:r>
            <w:r w:rsidR="0003285F">
              <w:rPr>
                <w:b/>
                <w:sz w:val="22"/>
                <w:szCs w:val="22"/>
              </w:rPr>
              <w:t>2</w:t>
            </w:r>
            <w:r w:rsidRPr="00A77F9F">
              <w:rPr>
                <w:b/>
                <w:sz w:val="22"/>
                <w:szCs w:val="22"/>
              </w:rPr>
              <w:t xml:space="preserve"> </w:t>
            </w:r>
            <w:r w:rsidRPr="00A77F9F">
              <w:rPr>
                <w:sz w:val="22"/>
                <w:szCs w:val="22"/>
              </w:rPr>
              <w:t>:</w:t>
            </w:r>
            <w:r>
              <w:rPr>
                <w:sz w:val="22"/>
                <w:szCs w:val="22"/>
              </w:rPr>
              <w:t xml:space="preserve"> </w:t>
            </w:r>
            <w:r w:rsidR="002E31D6">
              <w:rPr>
                <w:sz w:val="20"/>
              </w:rPr>
              <w:t>Fonctionnement du circuit de la récompense</w:t>
            </w:r>
          </w:p>
          <w:p w:rsidR="003366A9" w:rsidRPr="003A5325" w:rsidRDefault="003366A9" w:rsidP="00C77FB2">
            <w:pPr>
              <w:tabs>
                <w:tab w:val="left" w:pos="1418"/>
              </w:tabs>
              <w:rPr>
                <w:sz w:val="22"/>
              </w:rPr>
            </w:pPr>
          </w:p>
          <w:tbl>
            <w:tblPr>
              <w:tblStyle w:val="Grilledutableau"/>
              <w:tblW w:w="9412" w:type="dxa"/>
              <w:tblLayout w:type="fixed"/>
              <w:tblLook w:val="04A0"/>
            </w:tblPr>
            <w:tblGrid>
              <w:gridCol w:w="2268"/>
              <w:gridCol w:w="2127"/>
              <w:gridCol w:w="1842"/>
              <w:gridCol w:w="1531"/>
              <w:gridCol w:w="1644"/>
            </w:tblGrid>
            <w:tr w:rsidR="003366A9" w:rsidTr="003366A9">
              <w:tc>
                <w:tcPr>
                  <w:tcW w:w="2268" w:type="dxa"/>
                  <w:tcBorders>
                    <w:top w:val="nil"/>
                    <w:left w:val="nil"/>
                  </w:tcBorders>
                </w:tcPr>
                <w:p w:rsidR="003366A9" w:rsidRDefault="003366A9" w:rsidP="0049422B">
                  <w:pPr>
                    <w:rPr>
                      <w:b/>
                      <w:sz w:val="20"/>
                    </w:rPr>
                  </w:pPr>
                </w:p>
                <w:p w:rsidR="003366A9" w:rsidRDefault="003366A9" w:rsidP="0049422B">
                  <w:pPr>
                    <w:rPr>
                      <w:b/>
                      <w:sz w:val="20"/>
                    </w:rPr>
                  </w:pPr>
                </w:p>
              </w:tc>
              <w:tc>
                <w:tcPr>
                  <w:tcW w:w="2127" w:type="dxa"/>
                  <w:vAlign w:val="center"/>
                </w:tcPr>
                <w:p w:rsidR="003366A9" w:rsidRDefault="003366A9" w:rsidP="0049422B">
                  <w:pPr>
                    <w:jc w:val="center"/>
                    <w:rPr>
                      <w:b/>
                      <w:sz w:val="20"/>
                    </w:rPr>
                  </w:pPr>
                  <w:r>
                    <w:rPr>
                      <w:b/>
                      <w:sz w:val="20"/>
                    </w:rPr>
                    <w:t>Dopamine et Glutamate</w:t>
                  </w:r>
                </w:p>
              </w:tc>
              <w:tc>
                <w:tcPr>
                  <w:tcW w:w="1842" w:type="dxa"/>
                  <w:vAlign w:val="center"/>
                </w:tcPr>
                <w:p w:rsidR="003366A9" w:rsidRDefault="003366A9" w:rsidP="0049422B">
                  <w:pPr>
                    <w:jc w:val="center"/>
                    <w:rPr>
                      <w:b/>
                      <w:sz w:val="20"/>
                    </w:rPr>
                  </w:pPr>
                  <w:r>
                    <w:rPr>
                      <w:b/>
                      <w:sz w:val="20"/>
                    </w:rPr>
                    <w:t xml:space="preserve">GABA </w:t>
                  </w:r>
                </w:p>
              </w:tc>
              <w:tc>
                <w:tcPr>
                  <w:tcW w:w="1531" w:type="dxa"/>
                  <w:vAlign w:val="center"/>
                </w:tcPr>
                <w:p w:rsidR="003366A9" w:rsidRDefault="003366A9" w:rsidP="0049422B">
                  <w:pPr>
                    <w:jc w:val="center"/>
                    <w:rPr>
                      <w:b/>
                      <w:sz w:val="20"/>
                    </w:rPr>
                  </w:pPr>
                  <w:r>
                    <w:rPr>
                      <w:b/>
                      <w:sz w:val="20"/>
                    </w:rPr>
                    <w:t>Anandamide</w:t>
                  </w:r>
                </w:p>
              </w:tc>
              <w:tc>
                <w:tcPr>
                  <w:tcW w:w="1644" w:type="dxa"/>
                  <w:vAlign w:val="center"/>
                </w:tcPr>
                <w:p w:rsidR="003366A9" w:rsidRDefault="003366A9" w:rsidP="0049422B">
                  <w:pPr>
                    <w:jc w:val="center"/>
                    <w:rPr>
                      <w:b/>
                      <w:sz w:val="20"/>
                    </w:rPr>
                  </w:pPr>
                  <w:r>
                    <w:rPr>
                      <w:b/>
                      <w:sz w:val="20"/>
                    </w:rPr>
                    <w:t>THC</w:t>
                  </w:r>
                </w:p>
              </w:tc>
            </w:tr>
            <w:tr w:rsidR="003366A9" w:rsidTr="003366A9">
              <w:tc>
                <w:tcPr>
                  <w:tcW w:w="2268" w:type="dxa"/>
                  <w:vAlign w:val="center"/>
                </w:tcPr>
                <w:p w:rsidR="003366A9" w:rsidRDefault="003366A9" w:rsidP="0049422B">
                  <w:pPr>
                    <w:rPr>
                      <w:b/>
                      <w:sz w:val="20"/>
                    </w:rPr>
                  </w:pPr>
                  <w:r>
                    <w:rPr>
                      <w:b/>
                      <w:sz w:val="20"/>
                    </w:rPr>
                    <w:t>Fonction</w:t>
                  </w:r>
                </w:p>
              </w:tc>
              <w:tc>
                <w:tcPr>
                  <w:tcW w:w="2127" w:type="dxa"/>
                  <w:vAlign w:val="center"/>
                </w:tcPr>
                <w:p w:rsidR="003366A9" w:rsidRDefault="003366A9" w:rsidP="0049422B">
                  <w:pPr>
                    <w:jc w:val="center"/>
                    <w:rPr>
                      <w:sz w:val="20"/>
                    </w:rPr>
                  </w:pPr>
                  <w:r>
                    <w:rPr>
                      <w:sz w:val="20"/>
                    </w:rPr>
                    <w:t xml:space="preserve">Neurotransmetteurs </w:t>
                  </w:r>
                </w:p>
                <w:p w:rsidR="003366A9" w:rsidRPr="00670E5F" w:rsidRDefault="003366A9" w:rsidP="0049422B">
                  <w:pPr>
                    <w:jc w:val="center"/>
                    <w:rPr>
                      <w:sz w:val="20"/>
                    </w:rPr>
                  </w:pPr>
                  <w:r>
                    <w:rPr>
                      <w:sz w:val="20"/>
                    </w:rPr>
                    <w:t>excitateurs</w:t>
                  </w:r>
                </w:p>
              </w:tc>
              <w:tc>
                <w:tcPr>
                  <w:tcW w:w="1842" w:type="dxa"/>
                  <w:vAlign w:val="center"/>
                </w:tcPr>
                <w:p w:rsidR="003366A9" w:rsidRDefault="003366A9" w:rsidP="0049422B">
                  <w:pPr>
                    <w:jc w:val="center"/>
                    <w:rPr>
                      <w:sz w:val="20"/>
                    </w:rPr>
                  </w:pPr>
                  <w:r>
                    <w:rPr>
                      <w:sz w:val="20"/>
                    </w:rPr>
                    <w:t xml:space="preserve">Neurotransmetteur </w:t>
                  </w:r>
                </w:p>
                <w:p w:rsidR="003366A9" w:rsidRPr="00670E5F" w:rsidRDefault="003366A9" w:rsidP="0049422B">
                  <w:pPr>
                    <w:jc w:val="center"/>
                    <w:rPr>
                      <w:sz w:val="20"/>
                    </w:rPr>
                  </w:pPr>
                  <w:r>
                    <w:rPr>
                      <w:sz w:val="20"/>
                    </w:rPr>
                    <w:t>inhibiteur</w:t>
                  </w:r>
                </w:p>
              </w:tc>
              <w:tc>
                <w:tcPr>
                  <w:tcW w:w="1531" w:type="dxa"/>
                  <w:vAlign w:val="center"/>
                </w:tcPr>
                <w:p w:rsidR="003366A9" w:rsidRDefault="003366A9" w:rsidP="0049422B">
                  <w:pPr>
                    <w:jc w:val="center"/>
                    <w:rPr>
                      <w:sz w:val="20"/>
                    </w:rPr>
                  </w:pPr>
                  <w:r>
                    <w:rPr>
                      <w:sz w:val="20"/>
                    </w:rPr>
                    <w:t>Inhibiteur</w:t>
                  </w:r>
                </w:p>
                <w:p w:rsidR="003366A9" w:rsidRPr="00670E5F" w:rsidRDefault="003366A9" w:rsidP="0049422B">
                  <w:pPr>
                    <w:jc w:val="center"/>
                    <w:rPr>
                      <w:sz w:val="20"/>
                    </w:rPr>
                  </w:pPr>
                  <w:r>
                    <w:rPr>
                      <w:sz w:val="20"/>
                    </w:rPr>
                    <w:t>de transmission synaptique</w:t>
                  </w:r>
                </w:p>
              </w:tc>
              <w:tc>
                <w:tcPr>
                  <w:tcW w:w="1644" w:type="dxa"/>
                  <w:vAlign w:val="center"/>
                </w:tcPr>
                <w:p w:rsidR="003366A9" w:rsidRDefault="003366A9" w:rsidP="0049422B">
                  <w:pPr>
                    <w:jc w:val="center"/>
                    <w:rPr>
                      <w:sz w:val="20"/>
                    </w:rPr>
                  </w:pPr>
                  <w:r>
                    <w:rPr>
                      <w:sz w:val="20"/>
                    </w:rPr>
                    <w:t>?</w:t>
                  </w:r>
                </w:p>
              </w:tc>
            </w:tr>
            <w:tr w:rsidR="003366A9" w:rsidTr="003366A9">
              <w:tc>
                <w:tcPr>
                  <w:tcW w:w="2268" w:type="dxa"/>
                  <w:vAlign w:val="center"/>
                </w:tcPr>
                <w:p w:rsidR="003366A9" w:rsidRDefault="003366A9" w:rsidP="0049422B">
                  <w:pPr>
                    <w:rPr>
                      <w:b/>
                      <w:sz w:val="20"/>
                    </w:rPr>
                  </w:pPr>
                  <w:r>
                    <w:rPr>
                      <w:b/>
                      <w:sz w:val="20"/>
                    </w:rPr>
                    <w:t xml:space="preserve">Temps de demi-vie dans l'organisme </w:t>
                  </w:r>
                </w:p>
                <w:p w:rsidR="003366A9" w:rsidRDefault="003366A9" w:rsidP="0049422B">
                  <w:pPr>
                    <w:rPr>
                      <w:b/>
                      <w:sz w:val="20"/>
                    </w:rPr>
                  </w:pPr>
                  <w:r w:rsidRPr="00670E5F">
                    <w:rPr>
                      <w:sz w:val="20"/>
                    </w:rPr>
                    <w:t>(temps nécessaire pour que cette substance perde la moitié de son activité physiologique)</w:t>
                  </w:r>
                </w:p>
              </w:tc>
              <w:tc>
                <w:tcPr>
                  <w:tcW w:w="2127" w:type="dxa"/>
                  <w:vAlign w:val="center"/>
                </w:tcPr>
                <w:p w:rsidR="003366A9" w:rsidRPr="00670E5F" w:rsidRDefault="003366A9" w:rsidP="0049422B">
                  <w:pPr>
                    <w:jc w:val="center"/>
                    <w:rPr>
                      <w:sz w:val="20"/>
                    </w:rPr>
                  </w:pPr>
                  <w:r w:rsidRPr="00670E5F">
                    <w:rPr>
                      <w:sz w:val="20"/>
                    </w:rPr>
                    <w:t>Quelques minutes</w:t>
                  </w:r>
                </w:p>
              </w:tc>
              <w:tc>
                <w:tcPr>
                  <w:tcW w:w="1842" w:type="dxa"/>
                  <w:vAlign w:val="center"/>
                </w:tcPr>
                <w:p w:rsidR="003366A9" w:rsidRPr="00670E5F" w:rsidRDefault="003366A9" w:rsidP="0049422B">
                  <w:pPr>
                    <w:jc w:val="center"/>
                    <w:rPr>
                      <w:sz w:val="20"/>
                    </w:rPr>
                  </w:pPr>
                  <w:r w:rsidRPr="00670E5F">
                    <w:rPr>
                      <w:sz w:val="20"/>
                    </w:rPr>
                    <w:t>Quelques minutes</w:t>
                  </w:r>
                </w:p>
              </w:tc>
              <w:tc>
                <w:tcPr>
                  <w:tcW w:w="1531" w:type="dxa"/>
                  <w:vAlign w:val="center"/>
                </w:tcPr>
                <w:p w:rsidR="003366A9" w:rsidRPr="00670E5F" w:rsidRDefault="003366A9" w:rsidP="0049422B">
                  <w:pPr>
                    <w:jc w:val="center"/>
                    <w:rPr>
                      <w:sz w:val="20"/>
                    </w:rPr>
                  </w:pPr>
                  <w:r w:rsidRPr="00670E5F">
                    <w:rPr>
                      <w:sz w:val="20"/>
                    </w:rPr>
                    <w:t>Quelques minutes</w:t>
                  </w:r>
                </w:p>
              </w:tc>
              <w:tc>
                <w:tcPr>
                  <w:tcW w:w="1644" w:type="dxa"/>
                  <w:vAlign w:val="center"/>
                </w:tcPr>
                <w:p w:rsidR="003366A9" w:rsidRPr="00670E5F" w:rsidRDefault="003366A9" w:rsidP="0049422B">
                  <w:pPr>
                    <w:jc w:val="center"/>
                    <w:rPr>
                      <w:sz w:val="20"/>
                    </w:rPr>
                  </w:pPr>
                  <w:r>
                    <w:rPr>
                      <w:sz w:val="20"/>
                    </w:rPr>
                    <w:t>25 à 36 heures au moins</w:t>
                  </w:r>
                </w:p>
              </w:tc>
            </w:tr>
            <w:tr w:rsidR="003366A9" w:rsidTr="003366A9">
              <w:tc>
                <w:tcPr>
                  <w:tcW w:w="2268" w:type="dxa"/>
                  <w:vAlign w:val="center"/>
                </w:tcPr>
                <w:p w:rsidR="003366A9" w:rsidRDefault="003366A9" w:rsidP="0049422B">
                  <w:pPr>
                    <w:rPr>
                      <w:b/>
                      <w:sz w:val="20"/>
                    </w:rPr>
                  </w:pPr>
                  <w:r>
                    <w:rPr>
                      <w:b/>
                      <w:sz w:val="20"/>
                    </w:rPr>
                    <w:t>Quantité dans le cerveau</w:t>
                  </w:r>
                </w:p>
              </w:tc>
              <w:tc>
                <w:tcPr>
                  <w:tcW w:w="2127" w:type="dxa"/>
                  <w:vAlign w:val="center"/>
                </w:tcPr>
                <w:p w:rsidR="003366A9" w:rsidRPr="00505A99" w:rsidRDefault="003366A9" w:rsidP="0049422B">
                  <w:pPr>
                    <w:ind w:left="-107" w:right="-108"/>
                    <w:jc w:val="center"/>
                    <w:rPr>
                      <w:sz w:val="20"/>
                    </w:rPr>
                  </w:pPr>
                  <w:r w:rsidRPr="00505A99">
                    <w:rPr>
                      <w:sz w:val="20"/>
                    </w:rPr>
                    <w:t>Dopamine : 0 à 30 pg/mL</w:t>
                  </w:r>
                </w:p>
                <w:p w:rsidR="003366A9" w:rsidRPr="00505A99" w:rsidRDefault="003366A9" w:rsidP="0049422B">
                  <w:pPr>
                    <w:ind w:left="-107" w:right="-108"/>
                    <w:jc w:val="center"/>
                    <w:rPr>
                      <w:sz w:val="20"/>
                    </w:rPr>
                  </w:pPr>
                  <w:r w:rsidRPr="00505A99">
                    <w:rPr>
                      <w:sz w:val="20"/>
                    </w:rPr>
                    <w:t xml:space="preserve">Glutamate : </w:t>
                  </w:r>
                  <w:r>
                    <w:rPr>
                      <w:sz w:val="20"/>
                    </w:rPr>
                    <w:t>0,7 à</w:t>
                  </w:r>
                  <w:r w:rsidRPr="00505A99">
                    <w:rPr>
                      <w:sz w:val="20"/>
                    </w:rPr>
                    <w:t xml:space="preserve"> </w:t>
                  </w:r>
                  <w:r>
                    <w:rPr>
                      <w:sz w:val="20"/>
                    </w:rPr>
                    <w:t>2,2 g</w:t>
                  </w:r>
                  <w:r w:rsidRPr="00505A99">
                    <w:rPr>
                      <w:sz w:val="20"/>
                    </w:rPr>
                    <w:t>/kg</w:t>
                  </w:r>
                </w:p>
              </w:tc>
              <w:tc>
                <w:tcPr>
                  <w:tcW w:w="1842" w:type="dxa"/>
                  <w:vAlign w:val="center"/>
                </w:tcPr>
                <w:p w:rsidR="003366A9" w:rsidRPr="00670E5F" w:rsidRDefault="003366A9" w:rsidP="0049422B">
                  <w:pPr>
                    <w:jc w:val="center"/>
                    <w:rPr>
                      <w:sz w:val="20"/>
                    </w:rPr>
                  </w:pPr>
                  <w:r>
                    <w:rPr>
                      <w:sz w:val="20"/>
                    </w:rPr>
                    <w:t>1 nmol/mg</w:t>
                  </w:r>
                </w:p>
              </w:tc>
              <w:tc>
                <w:tcPr>
                  <w:tcW w:w="1531" w:type="dxa"/>
                  <w:vAlign w:val="center"/>
                </w:tcPr>
                <w:p w:rsidR="003366A9" w:rsidRPr="00670E5F" w:rsidRDefault="003366A9" w:rsidP="0049422B">
                  <w:pPr>
                    <w:jc w:val="center"/>
                    <w:rPr>
                      <w:sz w:val="20"/>
                    </w:rPr>
                  </w:pPr>
                  <w:r>
                    <w:rPr>
                      <w:sz w:val="20"/>
                    </w:rPr>
                    <w:t>Infime, non mesurable</w:t>
                  </w:r>
                </w:p>
              </w:tc>
              <w:tc>
                <w:tcPr>
                  <w:tcW w:w="1644" w:type="dxa"/>
                  <w:vAlign w:val="center"/>
                </w:tcPr>
                <w:p w:rsidR="003366A9" w:rsidRDefault="003366A9" w:rsidP="0049422B">
                  <w:pPr>
                    <w:jc w:val="center"/>
                    <w:rPr>
                      <w:sz w:val="20"/>
                    </w:rPr>
                  </w:pPr>
                  <w:r>
                    <w:rPr>
                      <w:sz w:val="20"/>
                    </w:rPr>
                    <w:t xml:space="preserve">225 ng/mL pour une dose ingérée </w:t>
                  </w:r>
                </w:p>
                <w:p w:rsidR="003366A9" w:rsidRPr="00670E5F" w:rsidRDefault="003366A9" w:rsidP="0049422B">
                  <w:pPr>
                    <w:jc w:val="center"/>
                    <w:rPr>
                      <w:sz w:val="20"/>
                    </w:rPr>
                  </w:pPr>
                  <w:r>
                    <w:rPr>
                      <w:sz w:val="20"/>
                    </w:rPr>
                    <w:t>de 10 mg/kg</w:t>
                  </w:r>
                </w:p>
              </w:tc>
            </w:tr>
            <w:tr w:rsidR="003366A9" w:rsidTr="003366A9">
              <w:tc>
                <w:tcPr>
                  <w:tcW w:w="2268" w:type="dxa"/>
                  <w:vAlign w:val="center"/>
                </w:tcPr>
                <w:p w:rsidR="003366A9" w:rsidRDefault="003366A9" w:rsidP="0049422B">
                  <w:pPr>
                    <w:rPr>
                      <w:b/>
                      <w:sz w:val="20"/>
                    </w:rPr>
                  </w:pPr>
                  <w:r>
                    <w:rPr>
                      <w:b/>
                      <w:sz w:val="20"/>
                    </w:rPr>
                    <w:t>Constante d'affinité pour son récepteur</w:t>
                  </w:r>
                </w:p>
                <w:p w:rsidR="003366A9" w:rsidRPr="00670E5F" w:rsidRDefault="003366A9" w:rsidP="0049422B">
                  <w:pPr>
                    <w:rPr>
                      <w:sz w:val="20"/>
                    </w:rPr>
                  </w:pPr>
                  <w:r>
                    <w:rPr>
                      <w:sz w:val="20"/>
                    </w:rPr>
                    <w:t>(plus cette valeur est faible et plus l'affinité est forte)</w:t>
                  </w:r>
                </w:p>
              </w:tc>
              <w:tc>
                <w:tcPr>
                  <w:tcW w:w="2127" w:type="dxa"/>
                  <w:vAlign w:val="center"/>
                </w:tcPr>
                <w:p w:rsidR="003366A9" w:rsidRDefault="003366A9" w:rsidP="0049422B">
                  <w:pPr>
                    <w:jc w:val="center"/>
                    <w:rPr>
                      <w:sz w:val="20"/>
                    </w:rPr>
                  </w:pPr>
                  <w:r>
                    <w:rPr>
                      <w:sz w:val="20"/>
                    </w:rPr>
                    <w:t>Dopamine : 40 nmol/L</w:t>
                  </w:r>
                </w:p>
                <w:p w:rsidR="003366A9" w:rsidRPr="00670E5F" w:rsidRDefault="003366A9" w:rsidP="0049422B">
                  <w:pPr>
                    <w:ind w:left="-107" w:right="-108"/>
                    <w:jc w:val="center"/>
                    <w:rPr>
                      <w:sz w:val="20"/>
                    </w:rPr>
                  </w:pPr>
                  <w:r>
                    <w:rPr>
                      <w:sz w:val="20"/>
                    </w:rPr>
                    <w:t>Glutamate : 100 nmol/L</w:t>
                  </w:r>
                </w:p>
              </w:tc>
              <w:tc>
                <w:tcPr>
                  <w:tcW w:w="1842" w:type="dxa"/>
                  <w:vAlign w:val="center"/>
                </w:tcPr>
                <w:p w:rsidR="003366A9" w:rsidRPr="00670E5F" w:rsidRDefault="003366A9" w:rsidP="0049422B">
                  <w:pPr>
                    <w:jc w:val="center"/>
                    <w:rPr>
                      <w:sz w:val="20"/>
                    </w:rPr>
                  </w:pPr>
                  <w:r>
                    <w:rPr>
                      <w:sz w:val="20"/>
                    </w:rPr>
                    <w:t>14 nmol/L</w:t>
                  </w:r>
                </w:p>
              </w:tc>
              <w:tc>
                <w:tcPr>
                  <w:tcW w:w="1531" w:type="dxa"/>
                  <w:vAlign w:val="center"/>
                </w:tcPr>
                <w:p w:rsidR="003366A9" w:rsidRPr="00670E5F" w:rsidRDefault="003366A9" w:rsidP="0049422B">
                  <w:pPr>
                    <w:jc w:val="center"/>
                    <w:rPr>
                      <w:sz w:val="20"/>
                    </w:rPr>
                  </w:pPr>
                  <w:r>
                    <w:rPr>
                      <w:sz w:val="20"/>
                    </w:rPr>
                    <w:t>60 à 550 nmol/L</w:t>
                  </w:r>
                </w:p>
              </w:tc>
              <w:tc>
                <w:tcPr>
                  <w:tcW w:w="1644" w:type="dxa"/>
                  <w:vAlign w:val="center"/>
                </w:tcPr>
                <w:p w:rsidR="003366A9" w:rsidRPr="00670E5F" w:rsidRDefault="003366A9" w:rsidP="0049422B">
                  <w:pPr>
                    <w:jc w:val="center"/>
                    <w:rPr>
                      <w:sz w:val="20"/>
                    </w:rPr>
                  </w:pPr>
                  <w:r>
                    <w:rPr>
                      <w:sz w:val="20"/>
                    </w:rPr>
                    <w:t>40 à 80 nmol/L</w:t>
                  </w:r>
                </w:p>
              </w:tc>
            </w:tr>
          </w:tbl>
          <w:p w:rsidR="003366A9" w:rsidRPr="00670E5F" w:rsidRDefault="003366A9" w:rsidP="003366A9">
            <w:pPr>
              <w:spacing w:before="120" w:after="120"/>
              <w:ind w:right="-108"/>
              <w:rPr>
                <w:sz w:val="20"/>
              </w:rPr>
            </w:pPr>
            <w:r w:rsidRPr="005D2E84">
              <w:rPr>
                <w:b/>
                <w:sz w:val="20"/>
              </w:rPr>
              <w:t xml:space="preserve">Document </w:t>
            </w:r>
            <w:r>
              <w:rPr>
                <w:b/>
                <w:sz w:val="20"/>
              </w:rPr>
              <w:t>3</w:t>
            </w:r>
            <w:r>
              <w:rPr>
                <w:sz w:val="20"/>
              </w:rPr>
              <w:t xml:space="preserve"> : Comparaison de quelques caractéristiques des molécules intervenant dans le circuit de la récompense</w:t>
            </w:r>
          </w:p>
          <w:p w:rsidR="00976659" w:rsidRDefault="003366A9" w:rsidP="003366A9">
            <w:pPr>
              <w:spacing w:after="120"/>
              <w:rPr>
                <w:sz w:val="20"/>
              </w:rPr>
            </w:pPr>
            <w:r w:rsidRPr="00D925C5">
              <w:rPr>
                <w:b/>
                <w:sz w:val="20"/>
              </w:rPr>
              <w:t>Ressources</w:t>
            </w:r>
            <w:r>
              <w:rPr>
                <w:b/>
                <w:sz w:val="20"/>
              </w:rPr>
              <w:t xml:space="preserve"> numériques</w:t>
            </w:r>
            <w:r w:rsidRPr="00D925C5">
              <w:rPr>
                <w:b/>
                <w:sz w:val="20"/>
              </w:rPr>
              <w:t xml:space="preserve"> à disposition dans l'espace classe</w:t>
            </w:r>
            <w:r>
              <w:rPr>
                <w:sz w:val="20"/>
              </w:rPr>
              <w:t xml:space="preserve"> : fichiers de structure des molécules du document 3 et de leurs récepteurs</w:t>
            </w:r>
          </w:p>
          <w:tbl>
            <w:tblPr>
              <w:tblStyle w:val="Grilledutableau"/>
              <w:tblW w:w="7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8"/>
              <w:gridCol w:w="4554"/>
            </w:tblGrid>
            <w:tr w:rsidR="0049422B" w:rsidTr="0049422B">
              <w:trPr>
                <w:jc w:val="center"/>
              </w:trPr>
              <w:tc>
                <w:tcPr>
                  <w:tcW w:w="2628" w:type="dxa"/>
                </w:tcPr>
                <w:p w:rsidR="0049422B" w:rsidRPr="0049422B" w:rsidRDefault="0049422B" w:rsidP="0049422B">
                  <w:pPr>
                    <w:pStyle w:val="Paragraphedeliste"/>
                    <w:numPr>
                      <w:ilvl w:val="0"/>
                      <w:numId w:val="19"/>
                    </w:numPr>
                    <w:spacing w:after="120"/>
                    <w:ind w:left="171" w:hanging="171"/>
                    <w:rPr>
                      <w:sz w:val="20"/>
                    </w:rPr>
                  </w:pPr>
                  <w:r w:rsidRPr="0049422B">
                    <w:rPr>
                      <w:sz w:val="20"/>
                    </w:rPr>
                    <w:t>Anandamide.pdb</w:t>
                  </w:r>
                </w:p>
                <w:p w:rsidR="0049422B" w:rsidRPr="0049422B" w:rsidRDefault="0049422B" w:rsidP="0049422B">
                  <w:pPr>
                    <w:pStyle w:val="Paragraphedeliste"/>
                    <w:numPr>
                      <w:ilvl w:val="0"/>
                      <w:numId w:val="19"/>
                    </w:numPr>
                    <w:spacing w:after="120"/>
                    <w:ind w:left="171" w:hanging="171"/>
                    <w:rPr>
                      <w:sz w:val="20"/>
                    </w:rPr>
                  </w:pPr>
                  <w:r w:rsidRPr="0049422B">
                    <w:rPr>
                      <w:sz w:val="20"/>
                    </w:rPr>
                    <w:t>Dopamine.pdb</w:t>
                  </w:r>
                </w:p>
                <w:p w:rsidR="0049422B" w:rsidRPr="0049422B" w:rsidRDefault="0049422B" w:rsidP="0049422B">
                  <w:pPr>
                    <w:pStyle w:val="Paragraphedeliste"/>
                    <w:numPr>
                      <w:ilvl w:val="0"/>
                      <w:numId w:val="19"/>
                    </w:numPr>
                    <w:spacing w:after="120"/>
                    <w:ind w:left="171" w:hanging="171"/>
                    <w:rPr>
                      <w:sz w:val="20"/>
                    </w:rPr>
                  </w:pPr>
                  <w:r w:rsidRPr="0049422B">
                    <w:rPr>
                      <w:sz w:val="20"/>
                    </w:rPr>
                    <w:t>GABA.pdb</w:t>
                  </w:r>
                </w:p>
                <w:p w:rsidR="0049422B" w:rsidRPr="0049422B" w:rsidRDefault="0049422B" w:rsidP="0049422B">
                  <w:pPr>
                    <w:pStyle w:val="Paragraphedeliste"/>
                    <w:numPr>
                      <w:ilvl w:val="0"/>
                      <w:numId w:val="19"/>
                    </w:numPr>
                    <w:spacing w:after="120"/>
                    <w:ind w:left="171" w:hanging="171"/>
                    <w:rPr>
                      <w:sz w:val="20"/>
                    </w:rPr>
                  </w:pPr>
                  <w:r w:rsidRPr="0049422B">
                    <w:rPr>
                      <w:sz w:val="20"/>
                    </w:rPr>
                    <w:t>Glutamate.pdb</w:t>
                  </w:r>
                </w:p>
                <w:p w:rsidR="0049422B" w:rsidRPr="0049422B" w:rsidRDefault="0049422B" w:rsidP="0049422B">
                  <w:pPr>
                    <w:pStyle w:val="Paragraphedeliste"/>
                    <w:numPr>
                      <w:ilvl w:val="0"/>
                      <w:numId w:val="19"/>
                    </w:numPr>
                    <w:spacing w:after="120"/>
                    <w:ind w:left="171" w:hanging="171"/>
                    <w:rPr>
                      <w:sz w:val="20"/>
                    </w:rPr>
                  </w:pPr>
                  <w:r w:rsidRPr="0049422B">
                    <w:rPr>
                      <w:sz w:val="20"/>
                    </w:rPr>
                    <w:t>THC.pdb</w:t>
                  </w:r>
                </w:p>
              </w:tc>
              <w:tc>
                <w:tcPr>
                  <w:tcW w:w="4554" w:type="dxa"/>
                </w:tcPr>
                <w:p w:rsidR="0049422B" w:rsidRPr="0049422B" w:rsidRDefault="0049422B" w:rsidP="0049422B">
                  <w:pPr>
                    <w:pStyle w:val="Paragraphedeliste"/>
                    <w:numPr>
                      <w:ilvl w:val="0"/>
                      <w:numId w:val="19"/>
                    </w:numPr>
                    <w:spacing w:after="120"/>
                    <w:ind w:left="171" w:hanging="171"/>
                    <w:rPr>
                      <w:sz w:val="20"/>
                    </w:rPr>
                  </w:pPr>
                  <w:r w:rsidRPr="0049422B">
                    <w:rPr>
                      <w:sz w:val="20"/>
                    </w:rPr>
                    <w:t>Recepteur_Anandamide_plus_Anandamide.pdb</w:t>
                  </w:r>
                </w:p>
                <w:p w:rsidR="0049422B" w:rsidRPr="0049422B" w:rsidRDefault="0049422B" w:rsidP="0049422B">
                  <w:pPr>
                    <w:pStyle w:val="Paragraphedeliste"/>
                    <w:numPr>
                      <w:ilvl w:val="0"/>
                      <w:numId w:val="19"/>
                    </w:numPr>
                    <w:spacing w:after="120"/>
                    <w:ind w:left="171" w:hanging="171"/>
                    <w:rPr>
                      <w:sz w:val="20"/>
                    </w:rPr>
                  </w:pPr>
                  <w:r w:rsidRPr="0049422B">
                    <w:rPr>
                      <w:sz w:val="20"/>
                    </w:rPr>
                    <w:t>Recepteur_Anandamide_plus_THC.pdb</w:t>
                  </w:r>
                </w:p>
                <w:p w:rsidR="0049422B" w:rsidRDefault="0049422B" w:rsidP="0049422B">
                  <w:pPr>
                    <w:pStyle w:val="Paragraphedeliste"/>
                    <w:numPr>
                      <w:ilvl w:val="0"/>
                      <w:numId w:val="19"/>
                    </w:numPr>
                    <w:spacing w:after="120"/>
                    <w:ind w:left="171" w:hanging="171"/>
                    <w:rPr>
                      <w:sz w:val="20"/>
                    </w:rPr>
                  </w:pPr>
                  <w:r w:rsidRPr="0049422B">
                    <w:rPr>
                      <w:sz w:val="20"/>
                    </w:rPr>
                    <w:t>Recepteur_Dopamine_plus_Dopamine.pdb</w:t>
                  </w:r>
                </w:p>
                <w:p w:rsidR="0049422B" w:rsidRDefault="0049422B" w:rsidP="0049422B">
                  <w:pPr>
                    <w:pStyle w:val="Paragraphedeliste"/>
                    <w:numPr>
                      <w:ilvl w:val="0"/>
                      <w:numId w:val="19"/>
                    </w:numPr>
                    <w:spacing w:after="120"/>
                    <w:ind w:left="171" w:hanging="171"/>
                    <w:rPr>
                      <w:sz w:val="20"/>
                    </w:rPr>
                  </w:pPr>
                  <w:r w:rsidRPr="0049422B">
                    <w:rPr>
                      <w:sz w:val="20"/>
                    </w:rPr>
                    <w:t>Recepteur_Dopamine_plus_THC.pdb</w:t>
                  </w:r>
                </w:p>
                <w:p w:rsidR="0049422B" w:rsidRDefault="0049422B" w:rsidP="0049422B">
                  <w:pPr>
                    <w:pStyle w:val="Paragraphedeliste"/>
                    <w:numPr>
                      <w:ilvl w:val="0"/>
                      <w:numId w:val="19"/>
                    </w:numPr>
                    <w:spacing w:after="120"/>
                    <w:ind w:left="171" w:hanging="171"/>
                    <w:rPr>
                      <w:sz w:val="20"/>
                    </w:rPr>
                  </w:pPr>
                  <w:r w:rsidRPr="0049422B">
                    <w:rPr>
                      <w:sz w:val="20"/>
                    </w:rPr>
                    <w:t>Recepteur_GABA_plus_GABA.pdb</w:t>
                  </w:r>
                </w:p>
                <w:p w:rsidR="0049422B" w:rsidRDefault="0049422B" w:rsidP="0049422B">
                  <w:pPr>
                    <w:pStyle w:val="Paragraphedeliste"/>
                    <w:numPr>
                      <w:ilvl w:val="0"/>
                      <w:numId w:val="19"/>
                    </w:numPr>
                    <w:spacing w:after="120"/>
                    <w:ind w:left="171" w:hanging="171"/>
                    <w:rPr>
                      <w:sz w:val="20"/>
                    </w:rPr>
                  </w:pPr>
                  <w:r w:rsidRPr="0049422B">
                    <w:rPr>
                      <w:sz w:val="20"/>
                    </w:rPr>
                    <w:t>Recepteur_GABA_plus_THC.pdb</w:t>
                  </w:r>
                </w:p>
                <w:p w:rsidR="0049422B" w:rsidRDefault="0049422B" w:rsidP="0049422B">
                  <w:pPr>
                    <w:pStyle w:val="Paragraphedeliste"/>
                    <w:numPr>
                      <w:ilvl w:val="0"/>
                      <w:numId w:val="19"/>
                    </w:numPr>
                    <w:spacing w:after="120"/>
                    <w:ind w:left="171" w:hanging="171"/>
                    <w:rPr>
                      <w:sz w:val="20"/>
                    </w:rPr>
                  </w:pPr>
                  <w:r w:rsidRPr="0049422B">
                    <w:rPr>
                      <w:sz w:val="20"/>
                    </w:rPr>
                    <w:t>Recepteur_Glutamate_plus_Glutamate.pdb</w:t>
                  </w:r>
                </w:p>
                <w:p w:rsidR="0049422B" w:rsidRPr="0049422B" w:rsidRDefault="0049422B" w:rsidP="0049422B">
                  <w:pPr>
                    <w:pStyle w:val="Paragraphedeliste"/>
                    <w:numPr>
                      <w:ilvl w:val="0"/>
                      <w:numId w:val="19"/>
                    </w:numPr>
                    <w:spacing w:after="120"/>
                    <w:ind w:left="171" w:hanging="171"/>
                    <w:rPr>
                      <w:sz w:val="20"/>
                    </w:rPr>
                  </w:pPr>
                  <w:r w:rsidRPr="0049422B">
                    <w:rPr>
                      <w:sz w:val="20"/>
                    </w:rPr>
                    <w:t>Recepteur_Glutamate_plus_THC.pdb</w:t>
                  </w:r>
                </w:p>
              </w:tc>
            </w:tr>
          </w:tbl>
          <w:p w:rsidR="003366A9" w:rsidRPr="003366A9" w:rsidRDefault="003366A9" w:rsidP="003366A9">
            <w:pPr>
              <w:spacing w:after="120"/>
              <w:rPr>
                <w:sz w:val="20"/>
              </w:rPr>
            </w:pPr>
          </w:p>
        </w:tc>
      </w:tr>
    </w:tbl>
    <w:p w:rsidR="00B4449C" w:rsidRDefault="00B4449C">
      <w:pPr>
        <w:rPr>
          <w:sz w:val="16"/>
        </w:rPr>
      </w:pPr>
    </w:p>
    <w:p w:rsidR="0013659C" w:rsidRDefault="0013659C">
      <w:pPr>
        <w:rPr>
          <w:sz w:val="16"/>
        </w:rPr>
      </w:pPr>
    </w:p>
    <w:p w:rsidR="0013659C" w:rsidRPr="00A77F9F" w:rsidRDefault="0013659C">
      <w:pPr>
        <w:rPr>
          <w:sz w:val="16"/>
        </w:rPr>
      </w:pPr>
    </w:p>
    <w:p w:rsidR="00DB0C62" w:rsidRPr="0013659C" w:rsidRDefault="0013659C" w:rsidP="0013659C">
      <w:pPr>
        <w:pBdr>
          <w:bottom w:val="single" w:sz="4" w:space="1" w:color="auto"/>
        </w:pBdr>
        <w:shd w:val="clear" w:color="auto" w:fill="8DB3E2" w:themeFill="text2" w:themeFillTint="66"/>
        <w:spacing w:after="120" w:line="240" w:lineRule="auto"/>
        <w:rPr>
          <w:b/>
          <w:sz w:val="22"/>
          <w:szCs w:val="22"/>
        </w:rPr>
      </w:pPr>
      <w:r>
        <w:rPr>
          <w:b/>
          <w:sz w:val="22"/>
          <w:szCs w:val="22"/>
        </w:rPr>
        <w:t xml:space="preserve">Consigne </w:t>
      </w:r>
    </w:p>
    <w:p w:rsidR="0013659C" w:rsidRPr="00A77F9F" w:rsidRDefault="0013659C">
      <w:pPr>
        <w:rPr>
          <w:b/>
          <w:sz w:val="22"/>
        </w:rPr>
      </w:pPr>
      <w:r w:rsidRPr="0013659C">
        <w:rPr>
          <w:b/>
          <w:sz w:val="22"/>
        </w:rPr>
        <w:t>On cherche à déterminer les mécanismes moléculaires d'action du THC sur le circuit de la récompense dans le cerveau, et comprendre comment la consommation de cannabis peut entrainer une addiction.</w:t>
      </w:r>
    </w:p>
    <w:p w:rsidR="00DB0C62" w:rsidRPr="00A77F9F" w:rsidRDefault="0013659C" w:rsidP="008E79FB">
      <w:pPr>
        <w:pStyle w:val="Paragraphedeliste"/>
        <w:widowControl w:val="0"/>
        <w:numPr>
          <w:ilvl w:val="0"/>
          <w:numId w:val="11"/>
        </w:numPr>
        <w:pBdr>
          <w:left w:val="single" w:sz="18" w:space="4" w:color="auto"/>
        </w:pBdr>
        <w:spacing w:after="60" w:line="240" w:lineRule="auto"/>
        <w:ind w:left="709" w:hanging="357"/>
        <w:contextualSpacing w:val="0"/>
        <w:rPr>
          <w:rFonts w:cs="Arial"/>
          <w:snapToGrid w:val="0"/>
          <w:sz w:val="22"/>
        </w:rPr>
      </w:pPr>
      <w:r w:rsidRPr="0013659C">
        <w:rPr>
          <w:rFonts w:cs="Arial"/>
          <w:b/>
          <w:noProof/>
          <w:sz w:val="22"/>
          <w:lang w:eastAsia="fr-FR"/>
        </w:rPr>
        <w:t>Explorer</w:t>
      </w:r>
      <w:r w:rsidRPr="0013659C">
        <w:rPr>
          <w:rFonts w:cs="Arial"/>
          <w:noProof/>
          <w:sz w:val="22"/>
          <w:lang w:eastAsia="fr-FR"/>
        </w:rPr>
        <w:t xml:space="preserve"> les ressources à disposition pour élucider le mode d'action du THC</w:t>
      </w:r>
    </w:p>
    <w:p w:rsidR="00C7035D" w:rsidRPr="00A77F9F" w:rsidRDefault="0013659C" w:rsidP="00B26D02">
      <w:pPr>
        <w:pStyle w:val="Paragraphedeliste"/>
        <w:widowControl w:val="0"/>
        <w:numPr>
          <w:ilvl w:val="0"/>
          <w:numId w:val="11"/>
        </w:numPr>
        <w:pBdr>
          <w:left w:val="single" w:sz="18" w:space="4" w:color="auto"/>
        </w:pBdr>
        <w:spacing w:afterLines="60" w:line="240" w:lineRule="auto"/>
        <w:ind w:left="709" w:hanging="357"/>
        <w:rPr>
          <w:rFonts w:cs="Arial"/>
          <w:snapToGrid w:val="0"/>
          <w:sz w:val="22"/>
        </w:rPr>
      </w:pPr>
      <w:r w:rsidRPr="0013659C">
        <w:rPr>
          <w:rFonts w:cs="Arial"/>
          <w:b/>
          <w:snapToGrid w:val="0"/>
          <w:sz w:val="22"/>
        </w:rPr>
        <w:t>Rendre compte</w:t>
      </w:r>
      <w:r w:rsidRPr="0013659C">
        <w:rPr>
          <w:rFonts w:cs="Arial"/>
          <w:snapToGrid w:val="0"/>
          <w:sz w:val="22"/>
        </w:rPr>
        <w:t xml:space="preserve"> </w:t>
      </w:r>
      <w:r>
        <w:rPr>
          <w:rFonts w:cs="Arial"/>
          <w:snapToGrid w:val="0"/>
          <w:sz w:val="22"/>
        </w:rPr>
        <w:t>des</w:t>
      </w:r>
      <w:r w:rsidRPr="0013659C">
        <w:rPr>
          <w:rFonts w:cs="Arial"/>
          <w:snapToGrid w:val="0"/>
          <w:sz w:val="22"/>
        </w:rPr>
        <w:t xml:space="preserve"> recherches et </w:t>
      </w:r>
      <w:r w:rsidRPr="0013659C">
        <w:rPr>
          <w:rFonts w:cs="Arial"/>
          <w:b/>
          <w:snapToGrid w:val="0"/>
          <w:sz w:val="22"/>
        </w:rPr>
        <w:t>conclure</w:t>
      </w:r>
      <w:r w:rsidRPr="0013659C">
        <w:rPr>
          <w:rFonts w:cs="Arial"/>
          <w:snapToGrid w:val="0"/>
          <w:sz w:val="22"/>
        </w:rPr>
        <w:t xml:space="preserve"> dans un document rédigé comportant des captures d'écran annotées.</w:t>
      </w:r>
      <w:r w:rsidR="00C7035D">
        <w:br w:type="page"/>
      </w:r>
    </w:p>
    <w:p w:rsidR="002E480A" w:rsidRPr="002E480A" w:rsidRDefault="002E480A" w:rsidP="002E480A">
      <w:pPr>
        <w:pBdr>
          <w:bottom w:val="single" w:sz="4" w:space="1" w:color="auto"/>
        </w:pBdr>
        <w:shd w:val="clear" w:color="auto" w:fill="8DB3E2" w:themeFill="text2" w:themeFillTint="66"/>
        <w:spacing w:after="120" w:line="240" w:lineRule="auto"/>
        <w:rPr>
          <w:b/>
          <w:sz w:val="22"/>
        </w:rPr>
      </w:pPr>
      <w:r w:rsidRPr="002E480A">
        <w:rPr>
          <w:b/>
          <w:sz w:val="22"/>
        </w:rPr>
        <w:lastRenderedPageBreak/>
        <w:t>Résultats</w:t>
      </w:r>
    </w:p>
    <w:p w:rsidR="00201A10" w:rsidRPr="000822D9" w:rsidRDefault="00201A10" w:rsidP="00305ED8">
      <w:pPr>
        <w:rPr>
          <w:sz w:val="22"/>
        </w:rPr>
      </w:pPr>
    </w:p>
    <w:tbl>
      <w:tblPr>
        <w:tblStyle w:val="Grilledutableau"/>
        <w:tblW w:w="0" w:type="auto"/>
        <w:tblLook w:val="04A0"/>
      </w:tblPr>
      <w:tblGrid>
        <w:gridCol w:w="9288"/>
      </w:tblGrid>
      <w:tr w:rsidR="008E79FB" w:rsidTr="008E79FB">
        <w:tc>
          <w:tcPr>
            <w:tcW w:w="9212" w:type="dxa"/>
          </w:tcPr>
          <w:p w:rsidR="001B2B87" w:rsidRDefault="001B2B87" w:rsidP="00CC101E">
            <w:pPr>
              <w:ind w:left="-284" w:right="-218"/>
              <w:jc w:val="center"/>
              <w:rPr>
                <w:b/>
              </w:rPr>
            </w:pPr>
          </w:p>
          <w:p w:rsidR="001B2B87" w:rsidRDefault="001B2B87" w:rsidP="00CC101E">
            <w:pPr>
              <w:ind w:left="-284" w:right="-218"/>
              <w:jc w:val="center"/>
              <w:rPr>
                <w:b/>
              </w:rPr>
            </w:pPr>
          </w:p>
          <w:p w:rsidR="008E79FB" w:rsidRDefault="003D18D5" w:rsidP="00CC101E">
            <w:pPr>
              <w:ind w:left="-284" w:right="-218"/>
              <w:jc w:val="center"/>
              <w:rPr>
                <w:b/>
              </w:rPr>
            </w:pPr>
            <w:r>
              <w:rPr>
                <w:b/>
                <w:noProof/>
                <w:lang w:eastAsia="fr-FR"/>
              </w:rPr>
              <w:drawing>
                <wp:inline distT="0" distB="0" distL="0" distR="0">
                  <wp:extent cx="5760720" cy="1699895"/>
                  <wp:effectExtent l="19050" t="0" r="0" b="0"/>
                  <wp:docPr id="2" name="Image 1" descr="comparaison_ligands-T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ison_ligands-THC.png"/>
                          <pic:cNvPicPr/>
                        </pic:nvPicPr>
                        <pic:blipFill>
                          <a:blip r:embed="rId12"/>
                          <a:stretch>
                            <a:fillRect/>
                          </a:stretch>
                        </pic:blipFill>
                        <pic:spPr>
                          <a:xfrm>
                            <a:off x="0" y="0"/>
                            <a:ext cx="5760720" cy="1699895"/>
                          </a:xfrm>
                          <a:prstGeom prst="rect">
                            <a:avLst/>
                          </a:prstGeom>
                        </pic:spPr>
                      </pic:pic>
                    </a:graphicData>
                  </a:graphic>
                </wp:inline>
              </w:drawing>
            </w:r>
            <w:r w:rsidR="00CC101E">
              <w:rPr>
                <w:b/>
              </w:rPr>
              <w:t xml:space="preserve"> </w:t>
            </w:r>
          </w:p>
          <w:p w:rsidR="0049422B" w:rsidRDefault="0049422B" w:rsidP="00CC101E">
            <w:pPr>
              <w:tabs>
                <w:tab w:val="left" w:pos="1418"/>
              </w:tabs>
              <w:ind w:left="284" w:right="491"/>
              <w:rPr>
                <w:b/>
                <w:sz w:val="22"/>
                <w:szCs w:val="22"/>
              </w:rPr>
            </w:pPr>
          </w:p>
          <w:p w:rsidR="00CC101E" w:rsidRDefault="0049422B" w:rsidP="0049422B">
            <w:pPr>
              <w:tabs>
                <w:tab w:val="left" w:pos="1418"/>
              </w:tabs>
              <w:ind w:left="284" w:right="491"/>
              <w:jc w:val="center"/>
              <w:rPr>
                <w:b/>
                <w:sz w:val="22"/>
                <w:szCs w:val="22"/>
              </w:rPr>
            </w:pPr>
            <w:r>
              <w:rPr>
                <w:b/>
                <w:sz w:val="22"/>
                <w:szCs w:val="22"/>
              </w:rPr>
              <w:t>Comparaison des structures des neurotransmetteurs/neuromodulateur et du THC</w:t>
            </w:r>
          </w:p>
          <w:p w:rsidR="001B2B87" w:rsidRDefault="001B2B87" w:rsidP="0049422B">
            <w:pPr>
              <w:tabs>
                <w:tab w:val="left" w:pos="1418"/>
              </w:tabs>
              <w:ind w:left="284" w:right="491"/>
              <w:jc w:val="center"/>
              <w:rPr>
                <w:b/>
                <w:sz w:val="22"/>
                <w:szCs w:val="22"/>
              </w:rPr>
            </w:pPr>
          </w:p>
          <w:p w:rsidR="001B2B87" w:rsidRDefault="001B2B87" w:rsidP="0049422B">
            <w:pPr>
              <w:tabs>
                <w:tab w:val="left" w:pos="1418"/>
              </w:tabs>
              <w:ind w:left="284" w:right="491"/>
              <w:jc w:val="center"/>
              <w:rPr>
                <w:rFonts w:cs="Calibri"/>
                <w:sz w:val="22"/>
                <w:szCs w:val="22"/>
              </w:rPr>
            </w:pPr>
          </w:p>
          <w:p w:rsidR="001B2B87" w:rsidRPr="00A77F9F" w:rsidRDefault="001B2B87" w:rsidP="0049422B">
            <w:pPr>
              <w:tabs>
                <w:tab w:val="left" w:pos="1418"/>
              </w:tabs>
              <w:ind w:left="284" w:right="491"/>
              <w:jc w:val="center"/>
              <w:rPr>
                <w:rFonts w:cs="Calibri"/>
                <w:sz w:val="22"/>
                <w:szCs w:val="22"/>
              </w:rPr>
            </w:pPr>
          </w:p>
          <w:p w:rsidR="008E79FB" w:rsidRDefault="008E79FB" w:rsidP="008E79FB">
            <w:pPr>
              <w:autoSpaceDE w:val="0"/>
              <w:autoSpaceDN w:val="0"/>
              <w:adjustRightInd w:val="0"/>
              <w:rPr>
                <w:sz w:val="22"/>
              </w:rPr>
            </w:pPr>
          </w:p>
          <w:p w:rsidR="0003285F" w:rsidRDefault="003D18D5" w:rsidP="00CC101E">
            <w:pPr>
              <w:autoSpaceDE w:val="0"/>
              <w:autoSpaceDN w:val="0"/>
              <w:adjustRightInd w:val="0"/>
              <w:jc w:val="center"/>
              <w:rPr>
                <w:sz w:val="22"/>
              </w:rPr>
            </w:pPr>
            <w:r>
              <w:rPr>
                <w:noProof/>
                <w:sz w:val="22"/>
                <w:lang w:eastAsia="fr-FR"/>
              </w:rPr>
              <w:drawing>
                <wp:inline distT="0" distB="0" distL="0" distR="0">
                  <wp:extent cx="5760720" cy="4321810"/>
                  <wp:effectExtent l="19050" t="0" r="0" b="0"/>
                  <wp:docPr id="1" name="Image 0" descr="THC-sur-recep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ur-recepteurs.png"/>
                          <pic:cNvPicPr/>
                        </pic:nvPicPr>
                        <pic:blipFill>
                          <a:blip r:embed="rId13" cstate="print"/>
                          <a:stretch>
                            <a:fillRect/>
                          </a:stretch>
                        </pic:blipFill>
                        <pic:spPr>
                          <a:xfrm>
                            <a:off x="0" y="0"/>
                            <a:ext cx="5760720" cy="4321810"/>
                          </a:xfrm>
                          <a:prstGeom prst="rect">
                            <a:avLst/>
                          </a:prstGeom>
                        </pic:spPr>
                      </pic:pic>
                    </a:graphicData>
                  </a:graphic>
                </wp:inline>
              </w:drawing>
            </w:r>
          </w:p>
          <w:p w:rsidR="0049422B" w:rsidRDefault="0049422B" w:rsidP="00CC101E">
            <w:pPr>
              <w:autoSpaceDE w:val="0"/>
              <w:autoSpaceDN w:val="0"/>
              <w:adjustRightInd w:val="0"/>
              <w:jc w:val="center"/>
              <w:rPr>
                <w:sz w:val="22"/>
              </w:rPr>
            </w:pPr>
          </w:p>
          <w:p w:rsidR="0049422B" w:rsidRDefault="0049422B" w:rsidP="0049422B">
            <w:pPr>
              <w:tabs>
                <w:tab w:val="left" w:pos="1418"/>
              </w:tabs>
              <w:ind w:left="284" w:right="491"/>
              <w:jc w:val="center"/>
              <w:rPr>
                <w:b/>
                <w:sz w:val="22"/>
                <w:szCs w:val="22"/>
              </w:rPr>
            </w:pPr>
            <w:r>
              <w:rPr>
                <w:b/>
                <w:sz w:val="22"/>
                <w:szCs w:val="22"/>
              </w:rPr>
              <w:t>Visualisation de l'interaction des ligands avec leurs récepteurs spécifiques, et mise en évidence de l'interaction du THC uniquement avec le récepteur à l'anandamide</w:t>
            </w:r>
          </w:p>
          <w:p w:rsidR="001B2B87" w:rsidRPr="00A77F9F" w:rsidRDefault="001B2B87" w:rsidP="0049422B">
            <w:pPr>
              <w:tabs>
                <w:tab w:val="left" w:pos="1418"/>
              </w:tabs>
              <w:ind w:left="284" w:right="491"/>
              <w:jc w:val="center"/>
              <w:rPr>
                <w:rFonts w:cs="Calibri"/>
                <w:sz w:val="22"/>
                <w:szCs w:val="22"/>
              </w:rPr>
            </w:pPr>
          </w:p>
          <w:p w:rsidR="00B45478" w:rsidRDefault="00B45478" w:rsidP="00CC101E">
            <w:pPr>
              <w:autoSpaceDE w:val="0"/>
              <w:autoSpaceDN w:val="0"/>
              <w:adjustRightInd w:val="0"/>
              <w:ind w:left="284" w:right="491"/>
              <w:rPr>
                <w:sz w:val="22"/>
              </w:rPr>
            </w:pPr>
          </w:p>
        </w:tc>
      </w:tr>
    </w:tbl>
    <w:p w:rsidR="0049422B" w:rsidRPr="0049422B" w:rsidRDefault="0049422B" w:rsidP="0049422B">
      <w:pPr>
        <w:rPr>
          <w:sz w:val="22"/>
        </w:rPr>
      </w:pPr>
      <w:r>
        <w:rPr>
          <w:sz w:val="22"/>
        </w:rPr>
        <w:lastRenderedPageBreak/>
        <w:t>É</w:t>
      </w:r>
      <w:r w:rsidRPr="0049422B">
        <w:rPr>
          <w:sz w:val="22"/>
        </w:rPr>
        <w:t>léments de réponse attendus :</w:t>
      </w:r>
    </w:p>
    <w:p w:rsidR="0049422B" w:rsidRPr="0049422B" w:rsidRDefault="0049422B" w:rsidP="0049422B">
      <w:pPr>
        <w:rPr>
          <w:sz w:val="22"/>
        </w:rPr>
      </w:pPr>
    </w:p>
    <w:p w:rsidR="0049422B" w:rsidRPr="0049422B" w:rsidRDefault="0049422B" w:rsidP="0049422B">
      <w:pPr>
        <w:pStyle w:val="Paragraphedeliste"/>
        <w:numPr>
          <w:ilvl w:val="0"/>
          <w:numId w:val="20"/>
        </w:numPr>
        <w:rPr>
          <w:sz w:val="22"/>
        </w:rPr>
      </w:pPr>
      <w:r w:rsidRPr="0049422B">
        <w:rPr>
          <w:sz w:val="22"/>
        </w:rPr>
        <w:t>Le THC a une similitude de structure avec l’anandamide, mais pas avec le GABA, le glutamate ou la dopamine.</w:t>
      </w:r>
    </w:p>
    <w:p w:rsidR="0049422B" w:rsidRPr="0049422B" w:rsidRDefault="0049422B" w:rsidP="0049422B">
      <w:pPr>
        <w:pStyle w:val="Paragraphedeliste"/>
        <w:numPr>
          <w:ilvl w:val="0"/>
          <w:numId w:val="20"/>
        </w:numPr>
        <w:rPr>
          <w:sz w:val="22"/>
        </w:rPr>
      </w:pPr>
      <w:r w:rsidRPr="0049422B">
        <w:rPr>
          <w:sz w:val="22"/>
        </w:rPr>
        <w:t xml:space="preserve">Mise en relation avec données du doc 1 : cette ressemblance de forme moléculaire doit lui permettre de prendre la place de l’anandamide. </w:t>
      </w:r>
    </w:p>
    <w:p w:rsidR="0049422B" w:rsidRPr="0049422B" w:rsidRDefault="0049422B" w:rsidP="0049422B">
      <w:pPr>
        <w:pStyle w:val="Paragraphedeliste"/>
        <w:numPr>
          <w:ilvl w:val="0"/>
          <w:numId w:val="20"/>
        </w:numPr>
        <w:rPr>
          <w:sz w:val="22"/>
        </w:rPr>
      </w:pPr>
      <w:r w:rsidRPr="0049422B">
        <w:rPr>
          <w:sz w:val="22"/>
        </w:rPr>
        <w:t>Le THC se fixe sur le récepteur à l’anandamide, au même emplacement que l’anandamide. Il prend sa place.</w:t>
      </w:r>
    </w:p>
    <w:p w:rsidR="0049422B" w:rsidRPr="0049422B" w:rsidRDefault="0049422B" w:rsidP="0049422B">
      <w:pPr>
        <w:pStyle w:val="Paragraphedeliste"/>
        <w:numPr>
          <w:ilvl w:val="0"/>
          <w:numId w:val="20"/>
        </w:numPr>
        <w:rPr>
          <w:sz w:val="22"/>
        </w:rPr>
      </w:pPr>
      <w:r w:rsidRPr="0049422B">
        <w:rPr>
          <w:sz w:val="22"/>
        </w:rPr>
        <w:t>Par contre le THC ne se fixe pas sur les récepteurs au GABA, au glutamate ou à la dopamine. Sa seule action est donc au niveau du récepteur à l’anandamide.</w:t>
      </w:r>
    </w:p>
    <w:p w:rsidR="0049422B" w:rsidRPr="0049422B" w:rsidRDefault="0049422B" w:rsidP="0049422B">
      <w:pPr>
        <w:pStyle w:val="Paragraphedeliste"/>
        <w:numPr>
          <w:ilvl w:val="0"/>
          <w:numId w:val="20"/>
        </w:numPr>
        <w:rPr>
          <w:sz w:val="22"/>
        </w:rPr>
      </w:pPr>
      <w:r w:rsidRPr="0049422B">
        <w:rPr>
          <w:sz w:val="22"/>
        </w:rPr>
        <w:t>Mise en relation avec document 2 : la fonction de l’anandamide étant d’inhiber la synapse à GABA, on peut en déduire que le THC va soit réaliser la même fonction, soit l’inverse.</w:t>
      </w:r>
    </w:p>
    <w:p w:rsidR="0049422B" w:rsidRPr="0049422B" w:rsidRDefault="0049422B" w:rsidP="0049422B">
      <w:pPr>
        <w:pStyle w:val="Paragraphedeliste"/>
        <w:numPr>
          <w:ilvl w:val="0"/>
          <w:numId w:val="20"/>
        </w:numPr>
        <w:rPr>
          <w:sz w:val="22"/>
        </w:rPr>
      </w:pPr>
      <w:r w:rsidRPr="0049422B">
        <w:rPr>
          <w:sz w:val="22"/>
        </w:rPr>
        <w:t>Le neurone à GABA est inhibiteur du circuit de la récompense. Son inhibition par l’anandamide revient donc à stimuler le circuit et à procurer une sensation de plaisir.</w:t>
      </w:r>
    </w:p>
    <w:p w:rsidR="0049422B" w:rsidRPr="0049422B" w:rsidRDefault="0049422B" w:rsidP="0049422B">
      <w:pPr>
        <w:pStyle w:val="Paragraphedeliste"/>
        <w:numPr>
          <w:ilvl w:val="0"/>
          <w:numId w:val="20"/>
        </w:numPr>
        <w:rPr>
          <w:sz w:val="22"/>
        </w:rPr>
      </w:pPr>
      <w:r w:rsidRPr="0049422B">
        <w:rPr>
          <w:sz w:val="22"/>
        </w:rPr>
        <w:t>On peut donc supposer que le THC agit comme l’anandamide, en bloquant le neurone inhibiteur.</w:t>
      </w:r>
    </w:p>
    <w:p w:rsidR="0049422B" w:rsidRPr="0049422B" w:rsidRDefault="0049422B" w:rsidP="0049422B">
      <w:pPr>
        <w:pStyle w:val="Paragraphedeliste"/>
        <w:numPr>
          <w:ilvl w:val="0"/>
          <w:numId w:val="20"/>
        </w:numPr>
        <w:rPr>
          <w:sz w:val="22"/>
        </w:rPr>
      </w:pPr>
      <w:r w:rsidRPr="0049422B">
        <w:rPr>
          <w:sz w:val="22"/>
        </w:rPr>
        <w:t xml:space="preserve">Le document 3 indique que le THC est présent en plus grande quantité que l’anandamide, qu’il est moins vite éliminé et qu’il se fixe plus fortement sur le récepteur. On en déduit que son action est plus forte </w:t>
      </w:r>
      <w:r w:rsidR="00475AAB">
        <w:rPr>
          <w:sz w:val="22"/>
        </w:rPr>
        <w:t xml:space="preserve">et plus durable </w:t>
      </w:r>
      <w:r w:rsidRPr="0049422B">
        <w:rPr>
          <w:sz w:val="22"/>
        </w:rPr>
        <w:t xml:space="preserve">que celle de l’anandamide. </w:t>
      </w:r>
    </w:p>
    <w:p w:rsidR="0049422B" w:rsidRPr="0049422B" w:rsidRDefault="0049422B" w:rsidP="0049422B">
      <w:pPr>
        <w:pStyle w:val="Paragraphedeliste"/>
        <w:numPr>
          <w:ilvl w:val="0"/>
          <w:numId w:val="20"/>
        </w:numPr>
        <w:rPr>
          <w:sz w:val="22"/>
        </w:rPr>
      </w:pPr>
      <w:r w:rsidRPr="0049422B">
        <w:rPr>
          <w:sz w:val="22"/>
        </w:rPr>
        <w:t>En conclusion, le THC renforce l’activation du circuit de la récompense en bloquant de façon durable les neurones inhibiteurs. La sensation de plaisir est augmentée, ce qui peut pousser certains utilisateurs à renouveler fréquemment l’expérience, jusqu’à développer une dépendance.</w:t>
      </w:r>
    </w:p>
    <w:p w:rsidR="0013659C" w:rsidRDefault="0013659C" w:rsidP="00305ED8">
      <w:pPr>
        <w:rPr>
          <w:sz w:val="22"/>
        </w:rPr>
      </w:pPr>
    </w:p>
    <w:p w:rsidR="0013659C" w:rsidRDefault="0013659C" w:rsidP="00305ED8">
      <w:pPr>
        <w:rPr>
          <w:sz w:val="22"/>
        </w:rPr>
      </w:pPr>
    </w:p>
    <w:p w:rsidR="003514F4" w:rsidRDefault="003514F4">
      <w:pPr>
        <w:rPr>
          <w:b/>
          <w:sz w:val="22"/>
        </w:rPr>
      </w:pPr>
      <w:r>
        <w:rPr>
          <w:b/>
          <w:sz w:val="22"/>
        </w:rPr>
        <w:br w:type="page"/>
      </w:r>
    </w:p>
    <w:p w:rsidR="00544C93" w:rsidRPr="008F1B37" w:rsidRDefault="008F1B37" w:rsidP="008F1B37">
      <w:pPr>
        <w:pBdr>
          <w:bottom w:val="single" w:sz="4" w:space="1" w:color="auto"/>
        </w:pBdr>
        <w:shd w:val="clear" w:color="auto" w:fill="8DB3E2" w:themeFill="text2" w:themeFillTint="66"/>
        <w:spacing w:after="120" w:line="240" w:lineRule="auto"/>
        <w:rPr>
          <w:b/>
          <w:sz w:val="22"/>
        </w:rPr>
      </w:pPr>
      <w:r w:rsidRPr="008F1B37">
        <w:rPr>
          <w:b/>
          <w:sz w:val="22"/>
        </w:rPr>
        <w:lastRenderedPageBreak/>
        <w:t>Pistes d'évaluation</w:t>
      </w:r>
    </w:p>
    <w:p w:rsidR="008F1B37" w:rsidRPr="00062F07" w:rsidRDefault="00062F07" w:rsidP="00C43669">
      <w:pPr>
        <w:rPr>
          <w:sz w:val="22"/>
          <w:szCs w:val="23"/>
        </w:rPr>
      </w:pPr>
      <w:r w:rsidRPr="00062F07">
        <w:rPr>
          <w:sz w:val="22"/>
          <w:szCs w:val="23"/>
        </w:rPr>
        <w:t xml:space="preserve">Dans </w:t>
      </w:r>
      <w:r w:rsidR="0017372C">
        <w:rPr>
          <w:sz w:val="22"/>
          <w:szCs w:val="23"/>
        </w:rPr>
        <w:t>l'activité proposée</w:t>
      </w:r>
      <w:r w:rsidRPr="00062F07">
        <w:rPr>
          <w:sz w:val="22"/>
          <w:szCs w:val="23"/>
        </w:rPr>
        <w:t xml:space="preserve">, les élèves </w:t>
      </w:r>
      <w:r>
        <w:rPr>
          <w:sz w:val="22"/>
          <w:szCs w:val="23"/>
        </w:rPr>
        <w:t xml:space="preserve">doivent d'abord traiter des données avec un logiciel </w:t>
      </w:r>
      <w:r w:rsidR="0017372C">
        <w:rPr>
          <w:sz w:val="22"/>
          <w:szCs w:val="23"/>
        </w:rPr>
        <w:t xml:space="preserve">de visualisation moléculaire </w:t>
      </w:r>
      <w:r>
        <w:rPr>
          <w:sz w:val="22"/>
          <w:szCs w:val="23"/>
        </w:rPr>
        <w:t>(Libmol</w:t>
      </w:r>
      <w:r w:rsidR="0017372C">
        <w:rPr>
          <w:sz w:val="22"/>
          <w:szCs w:val="23"/>
        </w:rPr>
        <w:t xml:space="preserve"> par exemple</w:t>
      </w:r>
      <w:r>
        <w:rPr>
          <w:sz w:val="22"/>
          <w:szCs w:val="23"/>
        </w:rPr>
        <w:t xml:space="preserve">) afin de générer des résultats exploitables, puis mettre en relation ces résultats et les ressources proposées pour répondre au problème. </w:t>
      </w:r>
    </w:p>
    <w:p w:rsidR="003A5325" w:rsidRDefault="003A5325" w:rsidP="003A5325">
      <w:pPr>
        <w:spacing w:line="240" w:lineRule="auto"/>
      </w:pPr>
    </w:p>
    <w:tbl>
      <w:tblPr>
        <w:tblStyle w:val="Grilledutableau"/>
        <w:tblW w:w="9480" w:type="dxa"/>
        <w:jc w:val="center"/>
        <w:tblLook w:val="04A0"/>
      </w:tblPr>
      <w:tblGrid>
        <w:gridCol w:w="1308"/>
        <w:gridCol w:w="1418"/>
        <w:gridCol w:w="4929"/>
        <w:gridCol w:w="1825"/>
      </w:tblGrid>
      <w:tr w:rsidR="003A5325" w:rsidRPr="00C43669" w:rsidTr="00CE209E">
        <w:trPr>
          <w:trHeight w:val="510"/>
          <w:jc w:val="center"/>
        </w:trPr>
        <w:tc>
          <w:tcPr>
            <w:tcW w:w="9480" w:type="dxa"/>
            <w:gridSpan w:val="4"/>
            <w:shd w:val="clear" w:color="auto" w:fill="D9D9D9" w:themeFill="background1" w:themeFillShade="D9"/>
            <w:vAlign w:val="center"/>
          </w:tcPr>
          <w:p w:rsidR="003A5325" w:rsidRPr="00C43669" w:rsidRDefault="003A5325" w:rsidP="00CE209E">
            <w:pPr>
              <w:pStyle w:val="Default"/>
              <w:rPr>
                <w:rFonts w:asciiTheme="minorHAnsi" w:hAnsiTheme="minorHAnsi"/>
                <w:sz w:val="22"/>
                <w:szCs w:val="22"/>
              </w:rPr>
            </w:pPr>
            <w:r w:rsidRPr="00C43669">
              <w:rPr>
                <w:rFonts w:asciiTheme="minorHAnsi" w:hAnsiTheme="minorHAnsi"/>
                <w:sz w:val="22"/>
                <w:szCs w:val="22"/>
              </w:rPr>
              <w:t xml:space="preserve">Pratiquer des langages : </w:t>
            </w:r>
            <w:r w:rsidRPr="00C43669">
              <w:rPr>
                <w:rFonts w:asciiTheme="minorHAnsi" w:hAnsiTheme="minorHAnsi"/>
                <w:b/>
                <w:sz w:val="22"/>
                <w:szCs w:val="22"/>
              </w:rPr>
              <w:t>Utiliser des logiciels d’acquisition, de simulation et de traitement de données</w:t>
            </w:r>
            <w:r w:rsidRPr="00C43669">
              <w:rPr>
                <w:rFonts w:asciiTheme="minorHAnsi" w:hAnsiTheme="minorHAnsi"/>
                <w:sz w:val="22"/>
                <w:szCs w:val="22"/>
              </w:rPr>
              <w:t xml:space="preserve"> </w:t>
            </w:r>
          </w:p>
        </w:tc>
      </w:tr>
      <w:tr w:rsidR="00985A38" w:rsidRPr="00C43669" w:rsidTr="00CE209E">
        <w:trPr>
          <w:trHeight w:val="510"/>
          <w:jc w:val="center"/>
        </w:trPr>
        <w:tc>
          <w:tcPr>
            <w:tcW w:w="1308" w:type="dxa"/>
            <w:vMerge w:val="restart"/>
            <w:vAlign w:val="center"/>
          </w:tcPr>
          <w:p w:rsidR="00985A38" w:rsidRPr="00C43669" w:rsidRDefault="00985A38" w:rsidP="00C43669">
            <w:pPr>
              <w:jc w:val="center"/>
              <w:rPr>
                <w:rFonts w:cs="Arial"/>
                <w:sz w:val="22"/>
                <w:szCs w:val="22"/>
              </w:rPr>
            </w:pPr>
            <w:r>
              <w:rPr>
                <w:rFonts w:cs="Arial"/>
                <w:sz w:val="22"/>
                <w:szCs w:val="22"/>
              </w:rPr>
              <w:t>Obtention de résultats</w:t>
            </w:r>
          </w:p>
        </w:tc>
        <w:tc>
          <w:tcPr>
            <w:tcW w:w="1418" w:type="dxa"/>
            <w:vMerge w:val="restart"/>
            <w:vAlign w:val="center"/>
          </w:tcPr>
          <w:p w:rsidR="00985A38" w:rsidRPr="00C43669" w:rsidRDefault="00985A38" w:rsidP="00C43669">
            <w:pPr>
              <w:jc w:val="center"/>
              <w:rPr>
                <w:rFonts w:cs="Arial"/>
                <w:sz w:val="22"/>
                <w:szCs w:val="22"/>
              </w:rPr>
            </w:pPr>
            <w:r>
              <w:rPr>
                <w:rFonts w:cs="Arial"/>
                <w:sz w:val="22"/>
                <w:szCs w:val="22"/>
              </w:rPr>
              <w:t>Production de résultats pertinents</w:t>
            </w:r>
          </w:p>
        </w:tc>
        <w:tc>
          <w:tcPr>
            <w:tcW w:w="4929" w:type="dxa"/>
            <w:vAlign w:val="center"/>
          </w:tcPr>
          <w:p w:rsidR="00985A38" w:rsidRDefault="00985A38" w:rsidP="00C43669">
            <w:pPr>
              <w:rPr>
                <w:rFonts w:cs="Arial"/>
                <w:sz w:val="22"/>
                <w:szCs w:val="22"/>
              </w:rPr>
            </w:pPr>
            <w:r>
              <w:rPr>
                <w:rFonts w:cs="Arial"/>
                <w:sz w:val="22"/>
                <w:szCs w:val="22"/>
              </w:rPr>
              <w:t>Traitement numérique personnel, avancé.</w:t>
            </w:r>
          </w:p>
          <w:p w:rsidR="00985A38" w:rsidRPr="00C43669" w:rsidRDefault="00985A38" w:rsidP="00924A31">
            <w:pPr>
              <w:rPr>
                <w:rFonts w:cs="Arial"/>
                <w:sz w:val="22"/>
                <w:szCs w:val="22"/>
              </w:rPr>
            </w:pPr>
            <w:r>
              <w:rPr>
                <w:rFonts w:cs="Arial"/>
                <w:sz w:val="22"/>
                <w:szCs w:val="22"/>
              </w:rPr>
              <w:t>Choix d'utilisation de données parmi la totalité.</w:t>
            </w:r>
          </w:p>
        </w:tc>
        <w:tc>
          <w:tcPr>
            <w:tcW w:w="1825" w:type="dxa"/>
            <w:shd w:val="clear" w:color="auto" w:fill="548DD4" w:themeFill="text2" w:themeFillTint="99"/>
            <w:vAlign w:val="center"/>
          </w:tcPr>
          <w:p w:rsidR="00985A38" w:rsidRPr="00985A38" w:rsidRDefault="00985A38" w:rsidP="00062F07">
            <w:pPr>
              <w:jc w:val="center"/>
              <w:rPr>
                <w:rFonts w:cs="Arial"/>
                <w:b/>
                <w:sz w:val="22"/>
                <w:szCs w:val="22"/>
              </w:rPr>
            </w:pPr>
            <w:r w:rsidRPr="00985A38">
              <w:rPr>
                <w:rFonts w:cs="Arial"/>
                <w:b/>
                <w:sz w:val="22"/>
                <w:szCs w:val="22"/>
              </w:rPr>
              <w:t>Très Bonne</w:t>
            </w:r>
          </w:p>
          <w:p w:rsidR="00985A38" w:rsidRPr="00985A38" w:rsidRDefault="00985A38" w:rsidP="00062F07">
            <w:pPr>
              <w:jc w:val="center"/>
              <w:rPr>
                <w:rFonts w:cs="Arial"/>
                <w:b/>
                <w:sz w:val="22"/>
                <w:szCs w:val="22"/>
              </w:rPr>
            </w:pPr>
            <w:r w:rsidRPr="00985A38">
              <w:rPr>
                <w:rFonts w:cs="Arial"/>
                <w:b/>
                <w:sz w:val="22"/>
                <w:szCs w:val="22"/>
              </w:rPr>
              <w:t>Maitrise</w:t>
            </w:r>
          </w:p>
        </w:tc>
      </w:tr>
      <w:tr w:rsidR="00985A38" w:rsidRPr="00C43669" w:rsidTr="00CE209E">
        <w:trPr>
          <w:trHeight w:val="510"/>
          <w:jc w:val="center"/>
        </w:trPr>
        <w:tc>
          <w:tcPr>
            <w:tcW w:w="1308" w:type="dxa"/>
            <w:vMerge/>
            <w:vAlign w:val="center"/>
          </w:tcPr>
          <w:p w:rsidR="00985A38" w:rsidRPr="00C43669" w:rsidRDefault="00985A38" w:rsidP="00605FA9">
            <w:pPr>
              <w:rPr>
                <w:rFonts w:cs="Arial"/>
                <w:sz w:val="22"/>
                <w:szCs w:val="22"/>
              </w:rPr>
            </w:pPr>
          </w:p>
        </w:tc>
        <w:tc>
          <w:tcPr>
            <w:tcW w:w="1418" w:type="dxa"/>
            <w:vMerge/>
            <w:vAlign w:val="center"/>
          </w:tcPr>
          <w:p w:rsidR="00985A38" w:rsidRPr="00C43669" w:rsidRDefault="00985A38" w:rsidP="00605FA9">
            <w:pPr>
              <w:rPr>
                <w:rFonts w:cs="Arial"/>
                <w:sz w:val="22"/>
                <w:szCs w:val="22"/>
              </w:rPr>
            </w:pPr>
          </w:p>
        </w:tc>
        <w:tc>
          <w:tcPr>
            <w:tcW w:w="4929" w:type="dxa"/>
            <w:vAlign w:val="center"/>
          </w:tcPr>
          <w:p w:rsidR="00985A38" w:rsidRPr="00C43669" w:rsidRDefault="00985A38" w:rsidP="00605FA9">
            <w:pPr>
              <w:rPr>
                <w:rFonts w:cs="Arial"/>
                <w:sz w:val="22"/>
                <w:szCs w:val="22"/>
              </w:rPr>
            </w:pPr>
            <w:r>
              <w:rPr>
                <w:rFonts w:cs="Arial"/>
                <w:sz w:val="22"/>
                <w:szCs w:val="22"/>
              </w:rPr>
              <w:t>Traitement numérique restreint aux fonctionnalités par défaut du logiciel. Pas de sélection des données.</w:t>
            </w:r>
          </w:p>
        </w:tc>
        <w:tc>
          <w:tcPr>
            <w:tcW w:w="1825" w:type="dxa"/>
            <w:shd w:val="clear" w:color="auto" w:fill="C6D9F1" w:themeFill="text2" w:themeFillTint="33"/>
            <w:vAlign w:val="center"/>
          </w:tcPr>
          <w:p w:rsidR="00985A38" w:rsidRPr="00985A38" w:rsidRDefault="00985A38" w:rsidP="00062F07">
            <w:pPr>
              <w:jc w:val="center"/>
              <w:rPr>
                <w:rFonts w:cs="Arial"/>
                <w:b/>
                <w:sz w:val="22"/>
                <w:szCs w:val="22"/>
              </w:rPr>
            </w:pPr>
            <w:r w:rsidRPr="00985A38">
              <w:rPr>
                <w:rFonts w:cs="Arial"/>
                <w:b/>
                <w:sz w:val="22"/>
                <w:szCs w:val="22"/>
              </w:rPr>
              <w:t>Maitrise Satisfaisante</w:t>
            </w:r>
          </w:p>
        </w:tc>
      </w:tr>
      <w:tr w:rsidR="00985A38" w:rsidRPr="00C43669" w:rsidTr="00CE209E">
        <w:trPr>
          <w:trHeight w:val="510"/>
          <w:jc w:val="center"/>
        </w:trPr>
        <w:tc>
          <w:tcPr>
            <w:tcW w:w="1308" w:type="dxa"/>
            <w:vMerge/>
            <w:vAlign w:val="center"/>
          </w:tcPr>
          <w:p w:rsidR="00985A38" w:rsidRPr="00C43669" w:rsidRDefault="00985A38" w:rsidP="00605FA9">
            <w:pPr>
              <w:rPr>
                <w:rFonts w:cs="Arial"/>
                <w:sz w:val="22"/>
                <w:szCs w:val="22"/>
              </w:rPr>
            </w:pPr>
          </w:p>
        </w:tc>
        <w:tc>
          <w:tcPr>
            <w:tcW w:w="6347" w:type="dxa"/>
            <w:gridSpan w:val="2"/>
            <w:vAlign w:val="center"/>
          </w:tcPr>
          <w:p w:rsidR="00985A38" w:rsidRPr="00C43669" w:rsidRDefault="00985A38" w:rsidP="003A5325">
            <w:pPr>
              <w:rPr>
                <w:rFonts w:cs="Arial"/>
                <w:sz w:val="22"/>
                <w:szCs w:val="22"/>
              </w:rPr>
            </w:pPr>
            <w:r>
              <w:rPr>
                <w:rFonts w:cs="Arial"/>
                <w:sz w:val="22"/>
                <w:szCs w:val="22"/>
              </w:rPr>
              <w:t>Résultats non exploitables, ne permettant pas de répondre au problème</w:t>
            </w:r>
          </w:p>
        </w:tc>
        <w:tc>
          <w:tcPr>
            <w:tcW w:w="1825" w:type="dxa"/>
            <w:shd w:val="clear" w:color="auto" w:fill="F2DBDB" w:themeFill="accent2" w:themeFillTint="33"/>
            <w:vAlign w:val="center"/>
          </w:tcPr>
          <w:p w:rsidR="00985A38" w:rsidRPr="00985A38" w:rsidRDefault="00985A38" w:rsidP="003A5325">
            <w:pPr>
              <w:jc w:val="center"/>
              <w:rPr>
                <w:rFonts w:cs="Arial"/>
                <w:b/>
                <w:sz w:val="22"/>
                <w:szCs w:val="22"/>
              </w:rPr>
            </w:pPr>
            <w:r w:rsidRPr="00985A38">
              <w:rPr>
                <w:rFonts w:cs="Arial"/>
                <w:b/>
                <w:sz w:val="22"/>
                <w:szCs w:val="22"/>
              </w:rPr>
              <w:t>Maitrise Fragile</w:t>
            </w:r>
          </w:p>
        </w:tc>
      </w:tr>
      <w:tr w:rsidR="00985A38" w:rsidRPr="00C43669" w:rsidTr="00CE209E">
        <w:trPr>
          <w:trHeight w:val="510"/>
          <w:jc w:val="center"/>
        </w:trPr>
        <w:tc>
          <w:tcPr>
            <w:tcW w:w="7655" w:type="dxa"/>
            <w:gridSpan w:val="3"/>
            <w:vAlign w:val="center"/>
          </w:tcPr>
          <w:p w:rsidR="00985A38" w:rsidRPr="00C43669" w:rsidRDefault="00985A38" w:rsidP="00605FA9">
            <w:pPr>
              <w:rPr>
                <w:rFonts w:cs="Arial"/>
                <w:sz w:val="22"/>
                <w:szCs w:val="22"/>
              </w:rPr>
            </w:pPr>
            <w:r>
              <w:rPr>
                <w:rFonts w:cs="Arial"/>
                <w:sz w:val="22"/>
                <w:szCs w:val="22"/>
              </w:rPr>
              <w:t>Pas de production - utilisation du logiciel inaboutie, ou pas à bon escient</w:t>
            </w:r>
          </w:p>
        </w:tc>
        <w:tc>
          <w:tcPr>
            <w:tcW w:w="1825" w:type="dxa"/>
            <w:shd w:val="clear" w:color="auto" w:fill="FF4343"/>
            <w:vAlign w:val="center"/>
          </w:tcPr>
          <w:p w:rsidR="00985A38" w:rsidRPr="00985A38" w:rsidRDefault="00985A38" w:rsidP="003A5325">
            <w:pPr>
              <w:jc w:val="center"/>
              <w:rPr>
                <w:rFonts w:cs="Arial"/>
                <w:b/>
                <w:sz w:val="22"/>
                <w:szCs w:val="22"/>
              </w:rPr>
            </w:pPr>
            <w:r w:rsidRPr="00985A38">
              <w:rPr>
                <w:rFonts w:cs="Arial"/>
                <w:b/>
                <w:sz w:val="22"/>
                <w:szCs w:val="22"/>
              </w:rPr>
              <w:t>Maitrise insuffisante</w:t>
            </w:r>
          </w:p>
        </w:tc>
      </w:tr>
    </w:tbl>
    <w:p w:rsidR="003A5325" w:rsidRPr="00C43669" w:rsidRDefault="003A5325" w:rsidP="003A5325">
      <w:pPr>
        <w:spacing w:line="240" w:lineRule="auto"/>
        <w:rPr>
          <w:sz w:val="22"/>
          <w:szCs w:val="22"/>
        </w:rPr>
      </w:pPr>
    </w:p>
    <w:p w:rsidR="003A5325" w:rsidRDefault="003A5325" w:rsidP="003A5325">
      <w:pPr>
        <w:spacing w:line="240" w:lineRule="auto"/>
      </w:pPr>
    </w:p>
    <w:tbl>
      <w:tblPr>
        <w:tblStyle w:val="Grilledutableau"/>
        <w:tblW w:w="9489" w:type="dxa"/>
        <w:jc w:val="center"/>
        <w:tblLook w:val="04A0"/>
      </w:tblPr>
      <w:tblGrid>
        <w:gridCol w:w="1313"/>
        <w:gridCol w:w="1418"/>
        <w:gridCol w:w="4925"/>
        <w:gridCol w:w="1833"/>
      </w:tblGrid>
      <w:tr w:rsidR="00267383" w:rsidRPr="00C43669" w:rsidTr="00CE209E">
        <w:trPr>
          <w:trHeight w:val="510"/>
          <w:jc w:val="center"/>
        </w:trPr>
        <w:tc>
          <w:tcPr>
            <w:tcW w:w="9489" w:type="dxa"/>
            <w:gridSpan w:val="4"/>
            <w:shd w:val="clear" w:color="auto" w:fill="D9D9D9" w:themeFill="background1" w:themeFillShade="D9"/>
            <w:vAlign w:val="center"/>
          </w:tcPr>
          <w:p w:rsidR="00267383" w:rsidRPr="00C43669" w:rsidRDefault="00267383" w:rsidP="00CE209E">
            <w:pPr>
              <w:pStyle w:val="Default"/>
              <w:rPr>
                <w:rFonts w:asciiTheme="minorHAnsi" w:hAnsiTheme="minorHAnsi"/>
                <w:sz w:val="22"/>
                <w:szCs w:val="22"/>
              </w:rPr>
            </w:pPr>
            <w:r w:rsidRPr="00C43669">
              <w:rPr>
                <w:rFonts w:asciiTheme="minorHAnsi" w:hAnsiTheme="minorHAnsi"/>
                <w:sz w:val="22"/>
                <w:szCs w:val="22"/>
              </w:rPr>
              <w:t xml:space="preserve">Pratiquer des langages : </w:t>
            </w:r>
            <w:r w:rsidR="00985A38" w:rsidRPr="00985A38">
              <w:rPr>
                <w:rFonts w:asciiTheme="minorHAnsi" w:hAnsiTheme="minorHAnsi"/>
                <w:b/>
                <w:sz w:val="22"/>
                <w:szCs w:val="22"/>
              </w:rPr>
              <w:t>Communiquer sur ses démarches, ses résultats et ses choix, en argumentant</w:t>
            </w:r>
          </w:p>
        </w:tc>
      </w:tr>
      <w:tr w:rsidR="00985A38" w:rsidRPr="00C43669" w:rsidTr="00CE209E">
        <w:trPr>
          <w:trHeight w:val="510"/>
          <w:jc w:val="center"/>
        </w:trPr>
        <w:tc>
          <w:tcPr>
            <w:tcW w:w="1308" w:type="dxa"/>
            <w:vMerge w:val="restart"/>
            <w:vAlign w:val="center"/>
          </w:tcPr>
          <w:p w:rsidR="00985A38" w:rsidRPr="00C43669" w:rsidRDefault="00F5238E" w:rsidP="00062F07">
            <w:pPr>
              <w:jc w:val="center"/>
              <w:rPr>
                <w:rFonts w:cs="Arial"/>
                <w:sz w:val="22"/>
                <w:szCs w:val="22"/>
              </w:rPr>
            </w:pPr>
            <w:r>
              <w:rPr>
                <w:rFonts w:cs="Arial"/>
                <w:sz w:val="22"/>
                <w:szCs w:val="22"/>
              </w:rPr>
              <w:t>Formulation d'une réponse au problème à résoudre</w:t>
            </w:r>
          </w:p>
        </w:tc>
        <w:tc>
          <w:tcPr>
            <w:tcW w:w="1418" w:type="dxa"/>
            <w:vMerge w:val="restart"/>
            <w:vAlign w:val="center"/>
          </w:tcPr>
          <w:p w:rsidR="00985A38" w:rsidRPr="00C43669" w:rsidRDefault="00F5238E" w:rsidP="00062F07">
            <w:pPr>
              <w:jc w:val="center"/>
              <w:rPr>
                <w:rFonts w:cs="Arial"/>
                <w:sz w:val="22"/>
                <w:szCs w:val="22"/>
              </w:rPr>
            </w:pPr>
            <w:r>
              <w:rPr>
                <w:rFonts w:cs="Arial"/>
                <w:sz w:val="22"/>
                <w:szCs w:val="22"/>
              </w:rPr>
              <w:t>Réponse correcte</w:t>
            </w:r>
          </w:p>
        </w:tc>
        <w:tc>
          <w:tcPr>
            <w:tcW w:w="4929" w:type="dxa"/>
            <w:vAlign w:val="center"/>
          </w:tcPr>
          <w:p w:rsidR="00985A38" w:rsidRPr="00C43669" w:rsidRDefault="00F5238E" w:rsidP="00062F07">
            <w:pPr>
              <w:rPr>
                <w:rFonts w:cs="Arial"/>
                <w:sz w:val="22"/>
                <w:szCs w:val="22"/>
              </w:rPr>
            </w:pPr>
            <w:r>
              <w:rPr>
                <w:rFonts w:cs="Arial"/>
                <w:sz w:val="22"/>
                <w:szCs w:val="22"/>
              </w:rPr>
              <w:t xml:space="preserve">Arguments reliant </w:t>
            </w:r>
            <w:r w:rsidR="00062F07">
              <w:rPr>
                <w:rFonts w:cs="Arial"/>
                <w:sz w:val="22"/>
                <w:szCs w:val="22"/>
              </w:rPr>
              <w:t xml:space="preserve">tous les </w:t>
            </w:r>
            <w:r>
              <w:rPr>
                <w:rFonts w:cs="Arial"/>
                <w:sz w:val="22"/>
                <w:szCs w:val="22"/>
              </w:rPr>
              <w:t>faits</w:t>
            </w:r>
            <w:r w:rsidR="00324C1A">
              <w:rPr>
                <w:rFonts w:cs="Arial"/>
                <w:sz w:val="22"/>
                <w:szCs w:val="22"/>
              </w:rPr>
              <w:t xml:space="preserve"> et </w:t>
            </w:r>
            <w:r>
              <w:rPr>
                <w:rFonts w:cs="Arial"/>
                <w:sz w:val="22"/>
                <w:szCs w:val="22"/>
              </w:rPr>
              <w:t xml:space="preserve">données </w:t>
            </w:r>
            <w:r w:rsidR="00324C1A">
              <w:rPr>
                <w:rFonts w:cs="Arial"/>
                <w:sz w:val="22"/>
                <w:szCs w:val="22"/>
              </w:rPr>
              <w:t>avec des</w:t>
            </w:r>
            <w:r>
              <w:rPr>
                <w:rFonts w:cs="Arial"/>
                <w:sz w:val="22"/>
                <w:szCs w:val="22"/>
              </w:rPr>
              <w:t xml:space="preserve"> notions plus générales - connecteurs logiques</w:t>
            </w:r>
          </w:p>
        </w:tc>
        <w:tc>
          <w:tcPr>
            <w:tcW w:w="1834" w:type="dxa"/>
            <w:shd w:val="clear" w:color="auto" w:fill="548DD4" w:themeFill="text2" w:themeFillTint="99"/>
            <w:vAlign w:val="center"/>
          </w:tcPr>
          <w:p w:rsidR="00985A38" w:rsidRPr="00985A38" w:rsidRDefault="00985A38" w:rsidP="00062F07">
            <w:pPr>
              <w:jc w:val="center"/>
              <w:rPr>
                <w:rFonts w:cs="Arial"/>
                <w:b/>
                <w:sz w:val="22"/>
                <w:szCs w:val="22"/>
              </w:rPr>
            </w:pPr>
            <w:r w:rsidRPr="00985A38">
              <w:rPr>
                <w:rFonts w:cs="Arial"/>
                <w:b/>
                <w:sz w:val="22"/>
                <w:szCs w:val="22"/>
              </w:rPr>
              <w:t>Très Bonne</w:t>
            </w:r>
          </w:p>
          <w:p w:rsidR="00985A38" w:rsidRPr="00985A38" w:rsidRDefault="00985A38" w:rsidP="00062F07">
            <w:pPr>
              <w:jc w:val="center"/>
              <w:rPr>
                <w:rFonts w:cs="Arial"/>
                <w:b/>
                <w:sz w:val="22"/>
                <w:szCs w:val="22"/>
              </w:rPr>
            </w:pPr>
            <w:r w:rsidRPr="00985A38">
              <w:rPr>
                <w:rFonts w:cs="Arial"/>
                <w:b/>
                <w:sz w:val="22"/>
                <w:szCs w:val="22"/>
              </w:rPr>
              <w:t>Maitrise</w:t>
            </w:r>
          </w:p>
        </w:tc>
      </w:tr>
      <w:tr w:rsidR="00985A38" w:rsidRPr="00C43669" w:rsidTr="00CE209E">
        <w:trPr>
          <w:trHeight w:val="510"/>
          <w:jc w:val="center"/>
        </w:trPr>
        <w:tc>
          <w:tcPr>
            <w:tcW w:w="1308" w:type="dxa"/>
            <w:vMerge/>
            <w:vAlign w:val="center"/>
          </w:tcPr>
          <w:p w:rsidR="00985A38" w:rsidRPr="00C43669" w:rsidRDefault="00985A38" w:rsidP="00062F07">
            <w:pPr>
              <w:rPr>
                <w:rFonts w:cs="Arial"/>
                <w:sz w:val="22"/>
                <w:szCs w:val="22"/>
              </w:rPr>
            </w:pPr>
          </w:p>
        </w:tc>
        <w:tc>
          <w:tcPr>
            <w:tcW w:w="1418" w:type="dxa"/>
            <w:vMerge/>
            <w:vAlign w:val="center"/>
          </w:tcPr>
          <w:p w:rsidR="00985A38" w:rsidRPr="00C43669" w:rsidRDefault="00985A38" w:rsidP="00062F07">
            <w:pPr>
              <w:rPr>
                <w:rFonts w:cs="Arial"/>
                <w:sz w:val="22"/>
                <w:szCs w:val="22"/>
              </w:rPr>
            </w:pPr>
          </w:p>
        </w:tc>
        <w:tc>
          <w:tcPr>
            <w:tcW w:w="4929" w:type="dxa"/>
            <w:vAlign w:val="center"/>
          </w:tcPr>
          <w:p w:rsidR="00985A38" w:rsidRPr="00C43669" w:rsidRDefault="00062F07" w:rsidP="00062F07">
            <w:pPr>
              <w:rPr>
                <w:rFonts w:cs="Arial"/>
                <w:sz w:val="22"/>
                <w:szCs w:val="22"/>
              </w:rPr>
            </w:pPr>
            <w:r>
              <w:rPr>
                <w:rFonts w:cs="Arial"/>
                <w:sz w:val="22"/>
                <w:szCs w:val="22"/>
              </w:rPr>
              <w:t>Utilisation incomplète des faits et des données - mise en relation logique mais pas toujours explicite</w:t>
            </w:r>
          </w:p>
        </w:tc>
        <w:tc>
          <w:tcPr>
            <w:tcW w:w="1834" w:type="dxa"/>
            <w:shd w:val="clear" w:color="auto" w:fill="C6D9F1" w:themeFill="text2" w:themeFillTint="33"/>
            <w:vAlign w:val="center"/>
          </w:tcPr>
          <w:p w:rsidR="00985A38" w:rsidRPr="00985A38" w:rsidRDefault="00985A38" w:rsidP="00062F07">
            <w:pPr>
              <w:jc w:val="center"/>
              <w:rPr>
                <w:rFonts w:cs="Arial"/>
                <w:b/>
                <w:sz w:val="22"/>
                <w:szCs w:val="22"/>
              </w:rPr>
            </w:pPr>
            <w:r w:rsidRPr="00985A38">
              <w:rPr>
                <w:rFonts w:cs="Arial"/>
                <w:b/>
                <w:sz w:val="22"/>
                <w:szCs w:val="22"/>
              </w:rPr>
              <w:t>Maitrise Satisfaisante</w:t>
            </w:r>
          </w:p>
        </w:tc>
      </w:tr>
      <w:tr w:rsidR="00985A38" w:rsidRPr="00C43669" w:rsidTr="00CE209E">
        <w:trPr>
          <w:trHeight w:val="510"/>
          <w:jc w:val="center"/>
        </w:trPr>
        <w:tc>
          <w:tcPr>
            <w:tcW w:w="1308" w:type="dxa"/>
            <w:vMerge/>
            <w:vAlign w:val="center"/>
          </w:tcPr>
          <w:p w:rsidR="00985A38" w:rsidRPr="00C43669" w:rsidRDefault="00985A38" w:rsidP="00062F07">
            <w:pPr>
              <w:rPr>
                <w:rFonts w:cs="Arial"/>
                <w:sz w:val="22"/>
                <w:szCs w:val="22"/>
              </w:rPr>
            </w:pPr>
          </w:p>
        </w:tc>
        <w:tc>
          <w:tcPr>
            <w:tcW w:w="6347" w:type="dxa"/>
            <w:gridSpan w:val="2"/>
            <w:vAlign w:val="center"/>
          </w:tcPr>
          <w:p w:rsidR="00985A38" w:rsidRPr="00C43669" w:rsidRDefault="00F5238E" w:rsidP="00062F07">
            <w:pPr>
              <w:rPr>
                <w:rFonts w:cs="Arial"/>
                <w:sz w:val="22"/>
                <w:szCs w:val="22"/>
              </w:rPr>
            </w:pPr>
            <w:r>
              <w:rPr>
                <w:rFonts w:cs="Arial"/>
                <w:sz w:val="22"/>
                <w:szCs w:val="22"/>
              </w:rPr>
              <w:t>Réponse trop parcellaire ou erronée - aucune argumentation</w:t>
            </w:r>
          </w:p>
        </w:tc>
        <w:tc>
          <w:tcPr>
            <w:tcW w:w="1834" w:type="dxa"/>
            <w:shd w:val="clear" w:color="auto" w:fill="F2DBDB" w:themeFill="accent2" w:themeFillTint="33"/>
            <w:vAlign w:val="center"/>
          </w:tcPr>
          <w:p w:rsidR="00985A38" w:rsidRPr="00C43669" w:rsidRDefault="00985A38" w:rsidP="00062F07">
            <w:pPr>
              <w:jc w:val="center"/>
              <w:rPr>
                <w:rFonts w:cs="Arial"/>
                <w:sz w:val="22"/>
                <w:szCs w:val="22"/>
              </w:rPr>
            </w:pPr>
            <w:r w:rsidRPr="00985A38">
              <w:rPr>
                <w:rFonts w:cs="Arial"/>
                <w:b/>
                <w:sz w:val="22"/>
                <w:szCs w:val="22"/>
              </w:rPr>
              <w:t>Maitrise Fragile</w:t>
            </w:r>
          </w:p>
        </w:tc>
      </w:tr>
      <w:tr w:rsidR="00985A38" w:rsidRPr="00C43669" w:rsidTr="00CE209E">
        <w:trPr>
          <w:trHeight w:val="510"/>
          <w:jc w:val="center"/>
        </w:trPr>
        <w:tc>
          <w:tcPr>
            <w:tcW w:w="7655" w:type="dxa"/>
            <w:gridSpan w:val="3"/>
            <w:vAlign w:val="center"/>
          </w:tcPr>
          <w:p w:rsidR="00985A38" w:rsidRPr="00C43669" w:rsidRDefault="00F5238E" w:rsidP="00062F07">
            <w:pPr>
              <w:rPr>
                <w:rFonts w:cs="Arial"/>
                <w:sz w:val="22"/>
                <w:szCs w:val="22"/>
              </w:rPr>
            </w:pPr>
            <w:r>
              <w:rPr>
                <w:rFonts w:cs="Arial"/>
                <w:sz w:val="22"/>
                <w:szCs w:val="22"/>
              </w:rPr>
              <w:t>Pas de réponse au problème à résoudre - simple exposition d'items</w:t>
            </w:r>
          </w:p>
        </w:tc>
        <w:tc>
          <w:tcPr>
            <w:tcW w:w="1834" w:type="dxa"/>
            <w:shd w:val="clear" w:color="auto" w:fill="FF4343"/>
            <w:vAlign w:val="center"/>
          </w:tcPr>
          <w:p w:rsidR="00985A38" w:rsidRPr="00C43669" w:rsidRDefault="00985A38" w:rsidP="00062F07">
            <w:pPr>
              <w:jc w:val="center"/>
              <w:rPr>
                <w:rFonts w:cs="Arial"/>
                <w:sz w:val="22"/>
                <w:szCs w:val="22"/>
              </w:rPr>
            </w:pPr>
            <w:r w:rsidRPr="00985A38">
              <w:rPr>
                <w:rFonts w:cs="Arial"/>
                <w:b/>
                <w:sz w:val="22"/>
                <w:szCs w:val="22"/>
              </w:rPr>
              <w:t>Maitrise insuffisante</w:t>
            </w:r>
          </w:p>
        </w:tc>
      </w:tr>
    </w:tbl>
    <w:p w:rsidR="003A5325" w:rsidRDefault="003A5325" w:rsidP="00C979B6">
      <w:pPr>
        <w:rPr>
          <w:rFonts w:cs="Arial"/>
          <w:snapToGrid w:val="0"/>
          <w:sz w:val="22"/>
          <w:szCs w:val="22"/>
        </w:rPr>
      </w:pPr>
    </w:p>
    <w:p w:rsidR="00F4263E" w:rsidRDefault="00F4263E" w:rsidP="00C979B6">
      <w:pPr>
        <w:rPr>
          <w:rFonts w:cs="Arial"/>
          <w:snapToGrid w:val="0"/>
          <w:sz w:val="22"/>
          <w:szCs w:val="22"/>
        </w:rPr>
      </w:pPr>
    </w:p>
    <w:p w:rsidR="00F4263E" w:rsidRPr="00F4263E" w:rsidRDefault="00F4263E" w:rsidP="00F4263E">
      <w:pPr>
        <w:pBdr>
          <w:bottom w:val="single" w:sz="4" w:space="1" w:color="auto"/>
        </w:pBdr>
        <w:shd w:val="clear" w:color="auto" w:fill="8DB3E2" w:themeFill="text2" w:themeFillTint="66"/>
        <w:spacing w:after="120" w:line="240" w:lineRule="auto"/>
        <w:rPr>
          <w:b/>
          <w:sz w:val="22"/>
          <w:lang w:val="en-US"/>
        </w:rPr>
      </w:pPr>
      <w:r w:rsidRPr="00F4263E">
        <w:rPr>
          <w:b/>
          <w:sz w:val="22"/>
          <w:lang w:val="en-US"/>
        </w:rPr>
        <w:t>Références</w:t>
      </w:r>
    </w:p>
    <w:p w:rsidR="00077F43" w:rsidRPr="00F4263E" w:rsidRDefault="00653E91" w:rsidP="00C979B6">
      <w:pPr>
        <w:rPr>
          <w:rFonts w:cs="Arial"/>
          <w:snapToGrid w:val="0"/>
          <w:sz w:val="20"/>
          <w:szCs w:val="22"/>
        </w:rPr>
      </w:pPr>
      <w:hyperlink r:id="rId14" w:history="1">
        <w:r w:rsidR="00F4263E" w:rsidRPr="00F4263E">
          <w:rPr>
            <w:rStyle w:val="Lienhypertexte"/>
            <w:sz w:val="22"/>
            <w:lang w:val="en-US"/>
          </w:rPr>
          <w:t xml:space="preserve">Wenzel, J., Cheer, J. Endocannabinoid Regulation of Reward and Reinforcement through Interaction with Dopamine and Endogenous Opioid Signaling. </w:t>
        </w:r>
        <w:r w:rsidR="00F4263E" w:rsidRPr="00F4263E">
          <w:rPr>
            <w:rStyle w:val="Lienhypertexte"/>
            <w:i/>
            <w:iCs/>
            <w:sz w:val="22"/>
          </w:rPr>
          <w:t>Neuropsychopharmacol.</w:t>
        </w:r>
        <w:r w:rsidR="00F4263E" w:rsidRPr="00F4263E">
          <w:rPr>
            <w:rStyle w:val="Lienhypertexte"/>
            <w:sz w:val="22"/>
          </w:rPr>
          <w:t xml:space="preserve"> </w:t>
        </w:r>
        <w:r w:rsidR="00F4263E" w:rsidRPr="00F4263E">
          <w:rPr>
            <w:rStyle w:val="Lienhypertexte"/>
            <w:b/>
            <w:bCs/>
            <w:sz w:val="22"/>
          </w:rPr>
          <w:t xml:space="preserve">43, </w:t>
        </w:r>
        <w:r w:rsidR="00F4263E" w:rsidRPr="00F4263E">
          <w:rPr>
            <w:rStyle w:val="Lienhypertexte"/>
            <w:sz w:val="22"/>
          </w:rPr>
          <w:t>103–115 (2018)</w:t>
        </w:r>
      </w:hyperlink>
      <w:r w:rsidR="00F4263E" w:rsidRPr="00F4263E">
        <w:rPr>
          <w:sz w:val="22"/>
        </w:rPr>
        <w:t>.</w:t>
      </w:r>
    </w:p>
    <w:p w:rsidR="00077F43" w:rsidRDefault="00077F43" w:rsidP="00C979B6">
      <w:pPr>
        <w:rPr>
          <w:sz w:val="22"/>
          <w:szCs w:val="22"/>
        </w:rPr>
      </w:pPr>
    </w:p>
    <w:p w:rsidR="00F4730E" w:rsidRDefault="00F4263E" w:rsidP="00F4263E">
      <w:pPr>
        <w:rPr>
          <w:rFonts w:cs="Arial"/>
          <w:snapToGrid w:val="0"/>
          <w:sz w:val="22"/>
          <w:szCs w:val="22"/>
        </w:rPr>
      </w:pPr>
      <w:r>
        <w:rPr>
          <w:rFonts w:cs="Arial"/>
          <w:b/>
          <w:snapToGrid w:val="0"/>
          <w:sz w:val="22"/>
          <w:szCs w:val="22"/>
        </w:rPr>
        <w:t>Ré</w:t>
      </w:r>
      <w:r w:rsidRPr="00CB609F">
        <w:rPr>
          <w:rFonts w:cs="Arial"/>
          <w:b/>
          <w:snapToGrid w:val="0"/>
          <w:sz w:val="22"/>
          <w:szCs w:val="22"/>
        </w:rPr>
        <w:t>cepteur</w:t>
      </w:r>
      <w:r>
        <w:rPr>
          <w:rFonts w:cs="Arial"/>
          <w:b/>
          <w:snapToGrid w:val="0"/>
          <w:sz w:val="22"/>
          <w:szCs w:val="22"/>
        </w:rPr>
        <w:t>s</w:t>
      </w:r>
      <w:r w:rsidRPr="00CB609F">
        <w:rPr>
          <w:rFonts w:cs="Arial"/>
          <w:b/>
          <w:snapToGrid w:val="0"/>
          <w:sz w:val="22"/>
          <w:szCs w:val="22"/>
        </w:rPr>
        <w:t xml:space="preserve"> </w:t>
      </w:r>
      <w:r>
        <w:rPr>
          <w:rFonts w:cs="Arial"/>
          <w:b/>
          <w:snapToGrid w:val="0"/>
          <w:sz w:val="22"/>
          <w:szCs w:val="22"/>
        </w:rPr>
        <w:t xml:space="preserve">à la dopamine, </w:t>
      </w:r>
      <w:r w:rsidRPr="00CB609F">
        <w:rPr>
          <w:rFonts w:cs="Arial"/>
          <w:b/>
          <w:snapToGrid w:val="0"/>
          <w:sz w:val="22"/>
          <w:szCs w:val="22"/>
        </w:rPr>
        <w:t xml:space="preserve">au GABA </w:t>
      </w:r>
      <w:r>
        <w:rPr>
          <w:rFonts w:cs="Arial"/>
          <w:b/>
          <w:snapToGrid w:val="0"/>
          <w:sz w:val="22"/>
          <w:szCs w:val="22"/>
        </w:rPr>
        <w:t xml:space="preserve">et au glutamate en complexe avec leur ligand </w:t>
      </w:r>
      <w:r>
        <w:rPr>
          <w:rFonts w:cs="Arial"/>
          <w:snapToGrid w:val="0"/>
          <w:sz w:val="22"/>
          <w:szCs w:val="22"/>
        </w:rPr>
        <w:t>: les modèles proposés sont dérivés respectivement des structures</w:t>
      </w:r>
      <w:r>
        <w:t xml:space="preserve"> </w:t>
      </w:r>
      <w:hyperlink r:id="rId15" w:history="1">
        <w:r w:rsidRPr="00380573">
          <w:rPr>
            <w:rStyle w:val="Lienhypertexte"/>
            <w:rFonts w:cs="Arial"/>
            <w:b/>
            <w:snapToGrid w:val="0"/>
            <w:sz w:val="22"/>
            <w:szCs w:val="22"/>
          </w:rPr>
          <w:t>7LJD</w:t>
        </w:r>
      </w:hyperlink>
      <w:r w:rsidRPr="00F4263E">
        <w:rPr>
          <w:rFonts w:cs="Arial"/>
          <w:snapToGrid w:val="0"/>
          <w:sz w:val="22"/>
          <w:szCs w:val="22"/>
        </w:rPr>
        <w:t xml:space="preserve">, </w:t>
      </w:r>
      <w:hyperlink r:id="rId16" w:history="1">
        <w:r w:rsidR="00380573" w:rsidRPr="0013659C">
          <w:rPr>
            <w:rStyle w:val="Lienhypertexte"/>
            <w:rFonts w:cs="Arial"/>
            <w:b/>
            <w:snapToGrid w:val="0"/>
            <w:sz w:val="22"/>
            <w:szCs w:val="22"/>
          </w:rPr>
          <w:t>6D6U</w:t>
        </w:r>
      </w:hyperlink>
      <w:r w:rsidR="00380573">
        <w:rPr>
          <w:rFonts w:cs="Arial"/>
          <w:snapToGrid w:val="0"/>
          <w:sz w:val="22"/>
          <w:szCs w:val="22"/>
        </w:rPr>
        <w:t xml:space="preserve"> </w:t>
      </w:r>
      <w:r w:rsidR="00FE0B31">
        <w:rPr>
          <w:rFonts w:cs="Arial"/>
          <w:snapToGrid w:val="0"/>
          <w:sz w:val="22"/>
          <w:szCs w:val="22"/>
        </w:rPr>
        <w:t xml:space="preserve">et </w:t>
      </w:r>
      <w:hyperlink r:id="rId17" w:history="1">
        <w:r w:rsidR="00380573" w:rsidRPr="0013659C">
          <w:rPr>
            <w:rStyle w:val="Lienhypertexte"/>
            <w:rFonts w:cs="Arial"/>
            <w:b/>
            <w:snapToGrid w:val="0"/>
            <w:sz w:val="22"/>
            <w:szCs w:val="22"/>
          </w:rPr>
          <w:t>5UOW</w:t>
        </w:r>
      </w:hyperlink>
      <w:r>
        <w:rPr>
          <w:rFonts w:cs="Arial"/>
          <w:snapToGrid w:val="0"/>
          <w:sz w:val="22"/>
          <w:szCs w:val="22"/>
        </w:rPr>
        <w:t xml:space="preserve">. </w:t>
      </w:r>
    </w:p>
    <w:p w:rsidR="00F4730E" w:rsidRDefault="00FE0B31" w:rsidP="00F4263E">
      <w:r w:rsidRPr="00FE0B31">
        <w:rPr>
          <w:rFonts w:cs="Arial"/>
          <w:b/>
          <w:snapToGrid w:val="0"/>
          <w:sz w:val="22"/>
          <w:szCs w:val="22"/>
        </w:rPr>
        <w:t>Récepteur à l'anandamide</w:t>
      </w:r>
      <w:r>
        <w:rPr>
          <w:rFonts w:cs="Arial"/>
          <w:b/>
          <w:snapToGrid w:val="0"/>
          <w:sz w:val="22"/>
          <w:szCs w:val="22"/>
        </w:rPr>
        <w:t xml:space="preserve"> en complexe avec l'ana</w:t>
      </w:r>
      <w:r w:rsidR="00F4730E">
        <w:rPr>
          <w:rFonts w:cs="Arial"/>
          <w:b/>
          <w:snapToGrid w:val="0"/>
          <w:sz w:val="22"/>
          <w:szCs w:val="22"/>
        </w:rPr>
        <w:t>n</w:t>
      </w:r>
      <w:r>
        <w:rPr>
          <w:rFonts w:cs="Arial"/>
          <w:b/>
          <w:snapToGrid w:val="0"/>
          <w:sz w:val="22"/>
          <w:szCs w:val="22"/>
        </w:rPr>
        <w:t>damide</w:t>
      </w:r>
      <w:r>
        <w:rPr>
          <w:rFonts w:cs="Arial"/>
          <w:snapToGrid w:val="0"/>
          <w:sz w:val="22"/>
          <w:szCs w:val="22"/>
        </w:rPr>
        <w:t xml:space="preserve"> : il s'agit du récepteur CB1, modélisé par le </w:t>
      </w:r>
      <w:hyperlink r:id="rId18" w:history="1">
        <w:r w:rsidR="00475AAB">
          <w:rPr>
            <w:rStyle w:val="Lienhypertexte"/>
            <w:b/>
            <w:sz w:val="22"/>
            <w:szCs w:val="22"/>
          </w:rPr>
          <w:t>Dr Chia-en Chang</w:t>
        </w:r>
      </w:hyperlink>
      <w:r w:rsidR="00F4730E">
        <w:t xml:space="preserve">. </w:t>
      </w:r>
    </w:p>
    <w:p w:rsidR="00F4263E" w:rsidRPr="00BA67B9" w:rsidRDefault="00F4263E" w:rsidP="00F4263E">
      <w:pPr>
        <w:rPr>
          <w:rFonts w:cs="Arial"/>
          <w:snapToGrid w:val="0"/>
          <w:sz w:val="22"/>
          <w:szCs w:val="22"/>
        </w:rPr>
      </w:pPr>
      <w:r>
        <w:rPr>
          <w:rFonts w:cs="Arial"/>
          <w:snapToGrid w:val="0"/>
          <w:sz w:val="22"/>
          <w:szCs w:val="22"/>
        </w:rPr>
        <w:t>Pour simplifier l'utilisation par les élèves,</w:t>
      </w:r>
      <w:r w:rsidR="00F4730E">
        <w:rPr>
          <w:rFonts w:cs="Arial"/>
          <w:snapToGrid w:val="0"/>
          <w:sz w:val="22"/>
          <w:szCs w:val="22"/>
        </w:rPr>
        <w:t xml:space="preserve"> les modèles</w:t>
      </w:r>
      <w:r>
        <w:rPr>
          <w:rFonts w:cs="Arial"/>
          <w:snapToGrid w:val="0"/>
          <w:sz w:val="22"/>
          <w:szCs w:val="22"/>
        </w:rPr>
        <w:t xml:space="preserve"> ont été remaniés en ne conservant qu'une seule chaine, en plaçant les ligands sur des chaines séparées de celle des récepteurs, en renommant ces chaines, et en supprimant les molécules non protéiques telles que des chaines de sucres ou des ions. Ces modèles ont également été utilisés pour générer les fichiers de structure des ligands seuls</w:t>
      </w:r>
      <w:r w:rsidR="00F4730E">
        <w:rPr>
          <w:rFonts w:cs="Arial"/>
          <w:snapToGrid w:val="0"/>
          <w:sz w:val="22"/>
          <w:szCs w:val="22"/>
        </w:rPr>
        <w:t xml:space="preserve">, et aussi les fichiers de structure en présence du THC (à </w:t>
      </w:r>
      <w:r w:rsidR="00F4730E" w:rsidRPr="00380573">
        <w:rPr>
          <w:rFonts w:cs="Arial"/>
          <w:snapToGrid w:val="0"/>
          <w:sz w:val="22"/>
          <w:szCs w:val="22"/>
        </w:rPr>
        <w:t xml:space="preserve">l'aide du logiciel </w:t>
      </w:r>
      <w:hyperlink r:id="rId19" w:history="1">
        <w:r w:rsidR="00380573" w:rsidRPr="00380573">
          <w:rPr>
            <w:rStyle w:val="Lienhypertexte"/>
            <w:b/>
            <w:bCs/>
            <w:sz w:val="22"/>
            <w:szCs w:val="22"/>
          </w:rPr>
          <w:t>Hex Protein Docking</w:t>
        </w:r>
      </w:hyperlink>
      <w:r w:rsidR="00F4730E" w:rsidRPr="00380573">
        <w:rPr>
          <w:rFonts w:cs="Arial"/>
          <w:snapToGrid w:val="0"/>
          <w:sz w:val="22"/>
          <w:szCs w:val="22"/>
        </w:rPr>
        <w:t>).</w:t>
      </w:r>
      <w:r w:rsidR="00F4730E">
        <w:rPr>
          <w:rFonts w:cs="Arial"/>
          <w:snapToGrid w:val="0"/>
          <w:sz w:val="22"/>
          <w:szCs w:val="22"/>
        </w:rPr>
        <w:t xml:space="preserve"> </w:t>
      </w:r>
    </w:p>
    <w:p w:rsidR="00F4263E" w:rsidRDefault="00F4263E" w:rsidP="00F4263E">
      <w:pPr>
        <w:rPr>
          <w:rFonts w:cs="Arial"/>
          <w:b/>
          <w:snapToGrid w:val="0"/>
          <w:sz w:val="22"/>
          <w:szCs w:val="22"/>
        </w:rPr>
      </w:pPr>
    </w:p>
    <w:p w:rsidR="00F4263E" w:rsidRPr="00C979B6" w:rsidRDefault="00F4263E" w:rsidP="00F4263E">
      <w:pPr>
        <w:rPr>
          <w:sz w:val="22"/>
          <w:szCs w:val="22"/>
        </w:rPr>
      </w:pPr>
    </w:p>
    <w:sectPr w:rsidR="00F4263E" w:rsidRPr="00C979B6" w:rsidSect="00C979B6">
      <w:footerReference w:type="default" r:id="rId20"/>
      <w:pgSz w:w="11906" w:h="16838"/>
      <w:pgMar w:top="1417" w:right="1417" w:bottom="1417" w:left="1417" w:header="708" w:footer="38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49B" w:rsidRDefault="0070649B" w:rsidP="00C979B6">
      <w:pPr>
        <w:spacing w:line="240" w:lineRule="auto"/>
      </w:pPr>
      <w:r>
        <w:separator/>
      </w:r>
    </w:p>
  </w:endnote>
  <w:endnote w:type="continuationSeparator" w:id="1">
    <w:p w:rsidR="0070649B" w:rsidRDefault="0070649B" w:rsidP="00C979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59012"/>
      <w:docPartObj>
        <w:docPartGallery w:val="Page Numbers (Bottom of Page)"/>
        <w:docPartUnique/>
      </w:docPartObj>
    </w:sdtPr>
    <w:sdtContent>
      <w:p w:rsidR="0049422B" w:rsidRDefault="00653E91">
        <w:pPr>
          <w:pStyle w:val="Pieddepage"/>
          <w:jc w:val="right"/>
        </w:pPr>
        <w:fldSimple w:instr=" PAGE   \* MERGEFORMAT ">
          <w:r w:rsidR="00B26D02">
            <w:rPr>
              <w:noProof/>
            </w:rPr>
            <w:t>1</w:t>
          </w:r>
        </w:fldSimple>
      </w:p>
    </w:sdtContent>
  </w:sdt>
  <w:p w:rsidR="0049422B" w:rsidRDefault="0049422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49B" w:rsidRDefault="0070649B" w:rsidP="00C979B6">
      <w:pPr>
        <w:spacing w:line="240" w:lineRule="auto"/>
      </w:pPr>
      <w:r>
        <w:separator/>
      </w:r>
    </w:p>
  </w:footnote>
  <w:footnote w:type="continuationSeparator" w:id="1">
    <w:p w:rsidR="0070649B" w:rsidRDefault="0070649B" w:rsidP="00C979B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3DDE"/>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424C53"/>
    <w:multiLevelType w:val="hybridMultilevel"/>
    <w:tmpl w:val="78AE32D2"/>
    <w:lvl w:ilvl="0" w:tplc="662E4B3A">
      <w:start w:val="1"/>
      <w:numFmt w:val="bullet"/>
      <w:lvlText w:val=""/>
      <w:lvlJc w:val="left"/>
      <w:pPr>
        <w:ind w:left="720" w:hanging="360"/>
      </w:pPr>
      <w:rPr>
        <w:rFonts w:ascii="Wingdings" w:hAnsi="Wingding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BE4B37"/>
    <w:multiLevelType w:val="hybridMultilevel"/>
    <w:tmpl w:val="8346A850"/>
    <w:lvl w:ilvl="0" w:tplc="824876E0">
      <w:numFmt w:val="bullet"/>
      <w:lvlText w:val=""/>
      <w:lvlJc w:val="left"/>
      <w:pPr>
        <w:ind w:left="496" w:hanging="360"/>
      </w:pPr>
      <w:rPr>
        <w:rFonts w:ascii="Symbol" w:eastAsia="Symbol" w:hAnsi="Symbol" w:cs="Symbol" w:hint="default"/>
        <w:color w:val="17818E"/>
        <w:w w:val="100"/>
        <w:sz w:val="22"/>
        <w:szCs w:val="22"/>
        <w:lang w:val="fr-FR" w:eastAsia="fr-FR" w:bidi="fr-FR"/>
      </w:rPr>
    </w:lvl>
    <w:lvl w:ilvl="1" w:tplc="066E1E22">
      <w:numFmt w:val="bullet"/>
      <w:lvlText w:val="•"/>
      <w:lvlJc w:val="left"/>
      <w:pPr>
        <w:ind w:left="1386" w:hanging="360"/>
      </w:pPr>
      <w:rPr>
        <w:rFonts w:hint="default"/>
        <w:lang w:val="fr-FR" w:eastAsia="fr-FR" w:bidi="fr-FR"/>
      </w:rPr>
    </w:lvl>
    <w:lvl w:ilvl="2" w:tplc="89F6146C">
      <w:numFmt w:val="bullet"/>
      <w:lvlText w:val="•"/>
      <w:lvlJc w:val="left"/>
      <w:pPr>
        <w:ind w:left="2273" w:hanging="360"/>
      </w:pPr>
      <w:rPr>
        <w:rFonts w:hint="default"/>
        <w:lang w:val="fr-FR" w:eastAsia="fr-FR" w:bidi="fr-FR"/>
      </w:rPr>
    </w:lvl>
    <w:lvl w:ilvl="3" w:tplc="D63A3066">
      <w:numFmt w:val="bullet"/>
      <w:lvlText w:val="•"/>
      <w:lvlJc w:val="left"/>
      <w:pPr>
        <w:ind w:left="3159" w:hanging="360"/>
      </w:pPr>
      <w:rPr>
        <w:rFonts w:hint="default"/>
        <w:lang w:val="fr-FR" w:eastAsia="fr-FR" w:bidi="fr-FR"/>
      </w:rPr>
    </w:lvl>
    <w:lvl w:ilvl="4" w:tplc="3EB0714E">
      <w:numFmt w:val="bullet"/>
      <w:lvlText w:val="•"/>
      <w:lvlJc w:val="left"/>
      <w:pPr>
        <w:ind w:left="4046" w:hanging="360"/>
      </w:pPr>
      <w:rPr>
        <w:rFonts w:hint="default"/>
        <w:lang w:val="fr-FR" w:eastAsia="fr-FR" w:bidi="fr-FR"/>
      </w:rPr>
    </w:lvl>
    <w:lvl w:ilvl="5" w:tplc="31C267E4">
      <w:numFmt w:val="bullet"/>
      <w:lvlText w:val="•"/>
      <w:lvlJc w:val="left"/>
      <w:pPr>
        <w:ind w:left="4933" w:hanging="360"/>
      </w:pPr>
      <w:rPr>
        <w:rFonts w:hint="default"/>
        <w:lang w:val="fr-FR" w:eastAsia="fr-FR" w:bidi="fr-FR"/>
      </w:rPr>
    </w:lvl>
    <w:lvl w:ilvl="6" w:tplc="1860986E">
      <w:numFmt w:val="bullet"/>
      <w:lvlText w:val="•"/>
      <w:lvlJc w:val="left"/>
      <w:pPr>
        <w:ind w:left="5819" w:hanging="360"/>
      </w:pPr>
      <w:rPr>
        <w:rFonts w:hint="default"/>
        <w:lang w:val="fr-FR" w:eastAsia="fr-FR" w:bidi="fr-FR"/>
      </w:rPr>
    </w:lvl>
    <w:lvl w:ilvl="7" w:tplc="54CA5676">
      <w:numFmt w:val="bullet"/>
      <w:lvlText w:val="•"/>
      <w:lvlJc w:val="left"/>
      <w:pPr>
        <w:ind w:left="6706" w:hanging="360"/>
      </w:pPr>
      <w:rPr>
        <w:rFonts w:hint="default"/>
        <w:lang w:val="fr-FR" w:eastAsia="fr-FR" w:bidi="fr-FR"/>
      </w:rPr>
    </w:lvl>
    <w:lvl w:ilvl="8" w:tplc="62F6109E">
      <w:numFmt w:val="bullet"/>
      <w:lvlText w:val="•"/>
      <w:lvlJc w:val="left"/>
      <w:pPr>
        <w:ind w:left="7593" w:hanging="360"/>
      </w:pPr>
      <w:rPr>
        <w:rFonts w:hint="default"/>
        <w:lang w:val="fr-FR" w:eastAsia="fr-FR" w:bidi="fr-FR"/>
      </w:rPr>
    </w:lvl>
  </w:abstractNum>
  <w:abstractNum w:abstractNumId="3">
    <w:nsid w:val="29636D87"/>
    <w:multiLevelType w:val="hybridMultilevel"/>
    <w:tmpl w:val="D2106C72"/>
    <w:lvl w:ilvl="0" w:tplc="BFD843C4">
      <w:start w:val="1"/>
      <w:numFmt w:val="bullet"/>
      <w:lvlText w:val=""/>
      <w:lvlJc w:val="left"/>
      <w:pPr>
        <w:ind w:left="720" w:hanging="360"/>
      </w:pPr>
      <w:rPr>
        <w:rFonts w:ascii="Symbol" w:hAnsi="Symbol" w:hint="default"/>
      </w:rPr>
    </w:lvl>
    <w:lvl w:ilvl="1" w:tplc="B0F42364">
      <w:numFmt w:val="bullet"/>
      <w:lvlText w:val="•"/>
      <w:lvlJc w:val="left"/>
      <w:pPr>
        <w:ind w:left="1440" w:hanging="360"/>
      </w:pPr>
      <w:rPr>
        <w:rFonts w:ascii="Calibri" w:eastAsiaTheme="minorHAnsi"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ED77FA"/>
    <w:multiLevelType w:val="hybridMultilevel"/>
    <w:tmpl w:val="FDCC2EDA"/>
    <w:lvl w:ilvl="0" w:tplc="D7B03410">
      <w:numFmt w:val="bullet"/>
      <w:lvlText w:val="-"/>
      <w:lvlJc w:val="left"/>
      <w:pPr>
        <w:ind w:left="199" w:hanging="171"/>
      </w:pPr>
      <w:rPr>
        <w:rFonts w:ascii="Calibri" w:eastAsia="Calibri" w:hAnsi="Calibri" w:cs="Calibri" w:hint="default"/>
        <w:b/>
        <w:bCs/>
        <w:color w:val="0061AC"/>
        <w:spacing w:val="-12"/>
        <w:w w:val="100"/>
        <w:sz w:val="24"/>
        <w:szCs w:val="24"/>
        <w:lang w:val="fr-FR" w:eastAsia="fr-FR" w:bidi="fr-FR"/>
      </w:rPr>
    </w:lvl>
    <w:lvl w:ilvl="1" w:tplc="A7306DA2">
      <w:numFmt w:val="bullet"/>
      <w:lvlText w:val="•"/>
      <w:lvlJc w:val="left"/>
      <w:pPr>
        <w:ind w:left="1087" w:hanging="171"/>
      </w:pPr>
      <w:rPr>
        <w:rFonts w:hint="default"/>
        <w:lang w:val="fr-FR" w:eastAsia="fr-FR" w:bidi="fr-FR"/>
      </w:rPr>
    </w:lvl>
    <w:lvl w:ilvl="2" w:tplc="6188F5AA">
      <w:numFmt w:val="bullet"/>
      <w:lvlText w:val="•"/>
      <w:lvlJc w:val="left"/>
      <w:pPr>
        <w:ind w:left="1974" w:hanging="171"/>
      </w:pPr>
      <w:rPr>
        <w:rFonts w:hint="default"/>
        <w:lang w:val="fr-FR" w:eastAsia="fr-FR" w:bidi="fr-FR"/>
      </w:rPr>
    </w:lvl>
    <w:lvl w:ilvl="3" w:tplc="1786D04C">
      <w:numFmt w:val="bullet"/>
      <w:lvlText w:val="•"/>
      <w:lvlJc w:val="left"/>
      <w:pPr>
        <w:ind w:left="2862" w:hanging="171"/>
      </w:pPr>
      <w:rPr>
        <w:rFonts w:hint="default"/>
        <w:lang w:val="fr-FR" w:eastAsia="fr-FR" w:bidi="fr-FR"/>
      </w:rPr>
    </w:lvl>
    <w:lvl w:ilvl="4" w:tplc="6B16C2F4">
      <w:numFmt w:val="bullet"/>
      <w:lvlText w:val="•"/>
      <w:lvlJc w:val="left"/>
      <w:pPr>
        <w:ind w:left="3749" w:hanging="171"/>
      </w:pPr>
      <w:rPr>
        <w:rFonts w:hint="default"/>
        <w:lang w:val="fr-FR" w:eastAsia="fr-FR" w:bidi="fr-FR"/>
      </w:rPr>
    </w:lvl>
    <w:lvl w:ilvl="5" w:tplc="865E455E">
      <w:numFmt w:val="bullet"/>
      <w:lvlText w:val="•"/>
      <w:lvlJc w:val="left"/>
      <w:pPr>
        <w:ind w:left="4636" w:hanging="171"/>
      </w:pPr>
      <w:rPr>
        <w:rFonts w:hint="default"/>
        <w:lang w:val="fr-FR" w:eastAsia="fr-FR" w:bidi="fr-FR"/>
      </w:rPr>
    </w:lvl>
    <w:lvl w:ilvl="6" w:tplc="BB6E17EA">
      <w:numFmt w:val="bullet"/>
      <w:lvlText w:val="•"/>
      <w:lvlJc w:val="left"/>
      <w:pPr>
        <w:ind w:left="5524" w:hanging="171"/>
      </w:pPr>
      <w:rPr>
        <w:rFonts w:hint="default"/>
        <w:lang w:val="fr-FR" w:eastAsia="fr-FR" w:bidi="fr-FR"/>
      </w:rPr>
    </w:lvl>
    <w:lvl w:ilvl="7" w:tplc="B0BC9C96">
      <w:numFmt w:val="bullet"/>
      <w:lvlText w:val="•"/>
      <w:lvlJc w:val="left"/>
      <w:pPr>
        <w:ind w:left="6411" w:hanging="171"/>
      </w:pPr>
      <w:rPr>
        <w:rFonts w:hint="default"/>
        <w:lang w:val="fr-FR" w:eastAsia="fr-FR" w:bidi="fr-FR"/>
      </w:rPr>
    </w:lvl>
    <w:lvl w:ilvl="8" w:tplc="9690A8DC">
      <w:numFmt w:val="bullet"/>
      <w:lvlText w:val="•"/>
      <w:lvlJc w:val="left"/>
      <w:pPr>
        <w:ind w:left="7298" w:hanging="171"/>
      </w:pPr>
      <w:rPr>
        <w:rFonts w:hint="default"/>
        <w:lang w:val="fr-FR" w:eastAsia="fr-FR" w:bidi="fr-FR"/>
      </w:rPr>
    </w:lvl>
  </w:abstractNum>
  <w:abstractNum w:abstractNumId="5">
    <w:nsid w:val="308222E2"/>
    <w:multiLevelType w:val="hybridMultilevel"/>
    <w:tmpl w:val="10DE5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304FD2"/>
    <w:multiLevelType w:val="hybridMultilevel"/>
    <w:tmpl w:val="0244517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4530A64"/>
    <w:multiLevelType w:val="hybridMultilevel"/>
    <w:tmpl w:val="8A568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BC6DF2"/>
    <w:multiLevelType w:val="hybridMultilevel"/>
    <w:tmpl w:val="7B4C8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D50401"/>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E0263F"/>
    <w:multiLevelType w:val="hybridMultilevel"/>
    <w:tmpl w:val="DA987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17C3724"/>
    <w:multiLevelType w:val="hybridMultilevel"/>
    <w:tmpl w:val="764E3042"/>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6083103"/>
    <w:multiLevelType w:val="hybridMultilevel"/>
    <w:tmpl w:val="FCC234EA"/>
    <w:lvl w:ilvl="0" w:tplc="6F301190">
      <w:numFmt w:val="bullet"/>
      <w:lvlText w:val="•"/>
      <w:lvlJc w:val="left"/>
      <w:pPr>
        <w:ind w:left="1065" w:hanging="705"/>
      </w:pPr>
      <w:rPr>
        <w:rFonts w:ascii="Calibri" w:eastAsiaTheme="minorHAnsi" w:hAnsi="Calibri" w:cs="Calibri" w:hint="default"/>
        <w:b/>
        <w:color w:val="17818E"/>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626483C"/>
    <w:multiLevelType w:val="hybridMultilevel"/>
    <w:tmpl w:val="D17C18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CD47AFA"/>
    <w:multiLevelType w:val="hybridMultilevel"/>
    <w:tmpl w:val="43FEDDD0"/>
    <w:lvl w:ilvl="0" w:tplc="FBEC4B0A">
      <w:numFmt w:val="bullet"/>
      <w:lvlText w:val=""/>
      <w:lvlJc w:val="left"/>
      <w:pPr>
        <w:ind w:left="496" w:hanging="360"/>
      </w:pPr>
      <w:rPr>
        <w:rFonts w:ascii="Symbol" w:eastAsia="Symbol" w:hAnsi="Symbol" w:cs="Symbol" w:hint="default"/>
        <w:color w:val="17818E"/>
        <w:w w:val="100"/>
        <w:sz w:val="22"/>
        <w:szCs w:val="22"/>
        <w:lang w:val="fr-FR" w:eastAsia="fr-FR" w:bidi="fr-FR"/>
      </w:rPr>
    </w:lvl>
    <w:lvl w:ilvl="1" w:tplc="48E6330E">
      <w:numFmt w:val="bullet"/>
      <w:lvlText w:val="•"/>
      <w:lvlJc w:val="left"/>
      <w:pPr>
        <w:ind w:left="1386" w:hanging="360"/>
      </w:pPr>
      <w:rPr>
        <w:rFonts w:hint="default"/>
        <w:lang w:val="fr-FR" w:eastAsia="fr-FR" w:bidi="fr-FR"/>
      </w:rPr>
    </w:lvl>
    <w:lvl w:ilvl="2" w:tplc="F220522A">
      <w:numFmt w:val="bullet"/>
      <w:lvlText w:val="•"/>
      <w:lvlJc w:val="left"/>
      <w:pPr>
        <w:ind w:left="2273" w:hanging="360"/>
      </w:pPr>
      <w:rPr>
        <w:rFonts w:hint="default"/>
        <w:lang w:val="fr-FR" w:eastAsia="fr-FR" w:bidi="fr-FR"/>
      </w:rPr>
    </w:lvl>
    <w:lvl w:ilvl="3" w:tplc="9056C44A">
      <w:numFmt w:val="bullet"/>
      <w:lvlText w:val="•"/>
      <w:lvlJc w:val="left"/>
      <w:pPr>
        <w:ind w:left="3159" w:hanging="360"/>
      </w:pPr>
      <w:rPr>
        <w:rFonts w:hint="default"/>
        <w:lang w:val="fr-FR" w:eastAsia="fr-FR" w:bidi="fr-FR"/>
      </w:rPr>
    </w:lvl>
    <w:lvl w:ilvl="4" w:tplc="E1341ECC">
      <w:numFmt w:val="bullet"/>
      <w:lvlText w:val="•"/>
      <w:lvlJc w:val="left"/>
      <w:pPr>
        <w:ind w:left="4046" w:hanging="360"/>
      </w:pPr>
      <w:rPr>
        <w:rFonts w:hint="default"/>
        <w:lang w:val="fr-FR" w:eastAsia="fr-FR" w:bidi="fr-FR"/>
      </w:rPr>
    </w:lvl>
    <w:lvl w:ilvl="5" w:tplc="C748A0DC">
      <w:numFmt w:val="bullet"/>
      <w:lvlText w:val="•"/>
      <w:lvlJc w:val="left"/>
      <w:pPr>
        <w:ind w:left="4933" w:hanging="360"/>
      </w:pPr>
      <w:rPr>
        <w:rFonts w:hint="default"/>
        <w:lang w:val="fr-FR" w:eastAsia="fr-FR" w:bidi="fr-FR"/>
      </w:rPr>
    </w:lvl>
    <w:lvl w:ilvl="6" w:tplc="984C11DE">
      <w:numFmt w:val="bullet"/>
      <w:lvlText w:val="•"/>
      <w:lvlJc w:val="left"/>
      <w:pPr>
        <w:ind w:left="5819" w:hanging="360"/>
      </w:pPr>
      <w:rPr>
        <w:rFonts w:hint="default"/>
        <w:lang w:val="fr-FR" w:eastAsia="fr-FR" w:bidi="fr-FR"/>
      </w:rPr>
    </w:lvl>
    <w:lvl w:ilvl="7" w:tplc="EB6AF1BE">
      <w:numFmt w:val="bullet"/>
      <w:lvlText w:val="•"/>
      <w:lvlJc w:val="left"/>
      <w:pPr>
        <w:ind w:left="6706" w:hanging="360"/>
      </w:pPr>
      <w:rPr>
        <w:rFonts w:hint="default"/>
        <w:lang w:val="fr-FR" w:eastAsia="fr-FR" w:bidi="fr-FR"/>
      </w:rPr>
    </w:lvl>
    <w:lvl w:ilvl="8" w:tplc="B0B8360C">
      <w:numFmt w:val="bullet"/>
      <w:lvlText w:val="•"/>
      <w:lvlJc w:val="left"/>
      <w:pPr>
        <w:ind w:left="7593" w:hanging="360"/>
      </w:pPr>
      <w:rPr>
        <w:rFonts w:hint="default"/>
        <w:lang w:val="fr-FR" w:eastAsia="fr-FR" w:bidi="fr-FR"/>
      </w:rPr>
    </w:lvl>
  </w:abstractNum>
  <w:abstractNum w:abstractNumId="15">
    <w:nsid w:val="62A64A95"/>
    <w:multiLevelType w:val="hybridMultilevel"/>
    <w:tmpl w:val="EC762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4BA7A8D"/>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4C93A33"/>
    <w:multiLevelType w:val="hybridMultilevel"/>
    <w:tmpl w:val="DE502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877786"/>
    <w:multiLevelType w:val="hybridMultilevel"/>
    <w:tmpl w:val="2E942A50"/>
    <w:lvl w:ilvl="0" w:tplc="040C0001">
      <w:start w:val="1"/>
      <w:numFmt w:val="bullet"/>
      <w:lvlText w:val=""/>
      <w:lvlJc w:val="left"/>
      <w:pPr>
        <w:ind w:left="748" w:hanging="360"/>
      </w:pPr>
      <w:rPr>
        <w:rFonts w:ascii="Symbol" w:hAnsi="Symbol"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19">
    <w:nsid w:val="7F4C585B"/>
    <w:multiLevelType w:val="hybridMultilevel"/>
    <w:tmpl w:val="DC541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
  </w:num>
  <w:num w:numId="4">
    <w:abstractNumId w:val="1"/>
  </w:num>
  <w:num w:numId="5">
    <w:abstractNumId w:val="18"/>
  </w:num>
  <w:num w:numId="6">
    <w:abstractNumId w:val="13"/>
  </w:num>
  <w:num w:numId="7">
    <w:abstractNumId w:val="10"/>
  </w:num>
  <w:num w:numId="8">
    <w:abstractNumId w:val="12"/>
  </w:num>
  <w:num w:numId="9">
    <w:abstractNumId w:val="4"/>
  </w:num>
  <w:num w:numId="10">
    <w:abstractNumId w:val="14"/>
  </w:num>
  <w:num w:numId="11">
    <w:abstractNumId w:val="16"/>
  </w:num>
  <w:num w:numId="12">
    <w:abstractNumId w:val="9"/>
  </w:num>
  <w:num w:numId="13">
    <w:abstractNumId w:val="11"/>
  </w:num>
  <w:num w:numId="14">
    <w:abstractNumId w:val="5"/>
  </w:num>
  <w:num w:numId="15">
    <w:abstractNumId w:val="6"/>
  </w:num>
  <w:num w:numId="16">
    <w:abstractNumId w:val="0"/>
  </w:num>
  <w:num w:numId="17">
    <w:abstractNumId w:val="15"/>
  </w:num>
  <w:num w:numId="18">
    <w:abstractNumId w:val="2"/>
  </w:num>
  <w:num w:numId="19">
    <w:abstractNumId w:val="7"/>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05ED8"/>
    <w:rsid w:val="0003285F"/>
    <w:rsid w:val="00042303"/>
    <w:rsid w:val="00060BA0"/>
    <w:rsid w:val="00062059"/>
    <w:rsid w:val="00062F07"/>
    <w:rsid w:val="00077DBE"/>
    <w:rsid w:val="00077F43"/>
    <w:rsid w:val="000822D9"/>
    <w:rsid w:val="000D5B7C"/>
    <w:rsid w:val="000F0007"/>
    <w:rsid w:val="0012475D"/>
    <w:rsid w:val="0013659C"/>
    <w:rsid w:val="001418BE"/>
    <w:rsid w:val="0017372C"/>
    <w:rsid w:val="001961A9"/>
    <w:rsid w:val="001B2B87"/>
    <w:rsid w:val="00201A10"/>
    <w:rsid w:val="00233BFC"/>
    <w:rsid w:val="002547CA"/>
    <w:rsid w:val="00267383"/>
    <w:rsid w:val="00267E95"/>
    <w:rsid w:val="00273ECB"/>
    <w:rsid w:val="002749A1"/>
    <w:rsid w:val="002E31D6"/>
    <w:rsid w:val="002E480A"/>
    <w:rsid w:val="002F7F15"/>
    <w:rsid w:val="00305ED8"/>
    <w:rsid w:val="00314C70"/>
    <w:rsid w:val="00316FCA"/>
    <w:rsid w:val="00324C1A"/>
    <w:rsid w:val="003366A9"/>
    <w:rsid w:val="003514F4"/>
    <w:rsid w:val="0035648B"/>
    <w:rsid w:val="00380573"/>
    <w:rsid w:val="003928CB"/>
    <w:rsid w:val="003A5325"/>
    <w:rsid w:val="003B0037"/>
    <w:rsid w:val="003D18D5"/>
    <w:rsid w:val="003E7ADE"/>
    <w:rsid w:val="00440CDE"/>
    <w:rsid w:val="00445E13"/>
    <w:rsid w:val="00451AEE"/>
    <w:rsid w:val="00475AAB"/>
    <w:rsid w:val="0049422B"/>
    <w:rsid w:val="00496E11"/>
    <w:rsid w:val="004A4EEF"/>
    <w:rsid w:val="004B0FF2"/>
    <w:rsid w:val="00515F47"/>
    <w:rsid w:val="00526F8C"/>
    <w:rsid w:val="00531704"/>
    <w:rsid w:val="00544C93"/>
    <w:rsid w:val="005660A9"/>
    <w:rsid w:val="00580750"/>
    <w:rsid w:val="00584ADF"/>
    <w:rsid w:val="00586B21"/>
    <w:rsid w:val="005B2EC2"/>
    <w:rsid w:val="005C1A52"/>
    <w:rsid w:val="005D7D0B"/>
    <w:rsid w:val="005E5B2F"/>
    <w:rsid w:val="00605FA9"/>
    <w:rsid w:val="00607466"/>
    <w:rsid w:val="00647E61"/>
    <w:rsid w:val="00653E91"/>
    <w:rsid w:val="00687CCA"/>
    <w:rsid w:val="00693199"/>
    <w:rsid w:val="00695F1F"/>
    <w:rsid w:val="006A0B9E"/>
    <w:rsid w:val="006F22C5"/>
    <w:rsid w:val="0070649B"/>
    <w:rsid w:val="00725DF6"/>
    <w:rsid w:val="007427AE"/>
    <w:rsid w:val="007637D7"/>
    <w:rsid w:val="0078505E"/>
    <w:rsid w:val="007A0E09"/>
    <w:rsid w:val="007D2B79"/>
    <w:rsid w:val="007D4E11"/>
    <w:rsid w:val="007E2A84"/>
    <w:rsid w:val="007F2F5E"/>
    <w:rsid w:val="00802F12"/>
    <w:rsid w:val="00805799"/>
    <w:rsid w:val="00807894"/>
    <w:rsid w:val="00810F4F"/>
    <w:rsid w:val="00843AB5"/>
    <w:rsid w:val="00851949"/>
    <w:rsid w:val="008839A7"/>
    <w:rsid w:val="008A163F"/>
    <w:rsid w:val="008B24A9"/>
    <w:rsid w:val="008B3836"/>
    <w:rsid w:val="008E79FB"/>
    <w:rsid w:val="008F1B37"/>
    <w:rsid w:val="008F2386"/>
    <w:rsid w:val="00924A31"/>
    <w:rsid w:val="0092705B"/>
    <w:rsid w:val="00960E8B"/>
    <w:rsid w:val="009731FD"/>
    <w:rsid w:val="00976659"/>
    <w:rsid w:val="00985A38"/>
    <w:rsid w:val="009C5FA4"/>
    <w:rsid w:val="00A77F9F"/>
    <w:rsid w:val="00AC0E24"/>
    <w:rsid w:val="00AD5F89"/>
    <w:rsid w:val="00B0554B"/>
    <w:rsid w:val="00B24524"/>
    <w:rsid w:val="00B26D02"/>
    <w:rsid w:val="00B4449C"/>
    <w:rsid w:val="00B450E7"/>
    <w:rsid w:val="00B45478"/>
    <w:rsid w:val="00B953C5"/>
    <w:rsid w:val="00BA67B9"/>
    <w:rsid w:val="00BA6BD3"/>
    <w:rsid w:val="00BB17AF"/>
    <w:rsid w:val="00BB213B"/>
    <w:rsid w:val="00BD7388"/>
    <w:rsid w:val="00BE080E"/>
    <w:rsid w:val="00BF0C7A"/>
    <w:rsid w:val="00C02303"/>
    <w:rsid w:val="00C02F95"/>
    <w:rsid w:val="00C43669"/>
    <w:rsid w:val="00C606F5"/>
    <w:rsid w:val="00C7035D"/>
    <w:rsid w:val="00C77FB2"/>
    <w:rsid w:val="00C979B6"/>
    <w:rsid w:val="00CB609F"/>
    <w:rsid w:val="00CC101E"/>
    <w:rsid w:val="00CD259E"/>
    <w:rsid w:val="00CE209E"/>
    <w:rsid w:val="00CE5061"/>
    <w:rsid w:val="00D41779"/>
    <w:rsid w:val="00D60D0F"/>
    <w:rsid w:val="00D70728"/>
    <w:rsid w:val="00D81EC7"/>
    <w:rsid w:val="00DB0C62"/>
    <w:rsid w:val="00DB14A5"/>
    <w:rsid w:val="00DD5C93"/>
    <w:rsid w:val="00E41247"/>
    <w:rsid w:val="00E74783"/>
    <w:rsid w:val="00EA553E"/>
    <w:rsid w:val="00EE4248"/>
    <w:rsid w:val="00F24EB9"/>
    <w:rsid w:val="00F4263E"/>
    <w:rsid w:val="00F42EE3"/>
    <w:rsid w:val="00F4730E"/>
    <w:rsid w:val="00F5238E"/>
    <w:rsid w:val="00F6472B"/>
    <w:rsid w:val="00F64CA1"/>
    <w:rsid w:val="00F738A4"/>
    <w:rsid w:val="00F76BCB"/>
    <w:rsid w:val="00FD1E77"/>
    <w:rsid w:val="00FE0B3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EB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1A10"/>
    <w:rPr>
      <w:color w:val="0000FF" w:themeColor="hyperlink"/>
      <w:u w:val="single"/>
    </w:rPr>
  </w:style>
  <w:style w:type="paragraph" w:styleId="Paragraphedeliste">
    <w:name w:val="List Paragraph"/>
    <w:basedOn w:val="Normal"/>
    <w:uiPriority w:val="34"/>
    <w:qFormat/>
    <w:rsid w:val="00201A10"/>
    <w:pPr>
      <w:ind w:left="720"/>
      <w:contextualSpacing/>
    </w:pPr>
  </w:style>
  <w:style w:type="table" w:customStyle="1" w:styleId="TableNormal">
    <w:name w:val="Table Normal"/>
    <w:uiPriority w:val="2"/>
    <w:semiHidden/>
    <w:unhideWhenUsed/>
    <w:qFormat/>
    <w:rsid w:val="00C02303"/>
    <w:pPr>
      <w:widowControl w:val="0"/>
      <w:autoSpaceDE w:val="0"/>
      <w:autoSpaceDN w:val="0"/>
      <w:spacing w:line="240" w:lineRule="auto"/>
    </w:pPr>
    <w:rPr>
      <w:rFonts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303"/>
    <w:pPr>
      <w:widowControl w:val="0"/>
      <w:autoSpaceDE w:val="0"/>
      <w:autoSpaceDN w:val="0"/>
      <w:spacing w:before="40" w:line="240" w:lineRule="auto"/>
      <w:ind w:left="28"/>
    </w:pPr>
    <w:rPr>
      <w:rFonts w:ascii="Arial" w:eastAsia="Arial" w:hAnsi="Arial" w:cs="Arial"/>
      <w:sz w:val="22"/>
      <w:szCs w:val="22"/>
      <w:lang w:eastAsia="fr-FR" w:bidi="fr-FR"/>
    </w:rPr>
  </w:style>
  <w:style w:type="table" w:styleId="Grilledutableau">
    <w:name w:val="Table Grid"/>
    <w:basedOn w:val="TableauNormal"/>
    <w:uiPriority w:val="39"/>
    <w:rsid w:val="00C023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0230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303"/>
    <w:rPr>
      <w:rFonts w:ascii="Tahoma" w:hAnsi="Tahoma" w:cs="Tahoma"/>
      <w:sz w:val="16"/>
      <w:szCs w:val="16"/>
    </w:rPr>
  </w:style>
  <w:style w:type="paragraph" w:styleId="Corpsdetexte">
    <w:name w:val="Body Text"/>
    <w:basedOn w:val="Normal"/>
    <w:link w:val="CorpsdetexteCar"/>
    <w:uiPriority w:val="1"/>
    <w:qFormat/>
    <w:rsid w:val="00C02303"/>
    <w:pPr>
      <w:widowControl w:val="0"/>
      <w:autoSpaceDE w:val="0"/>
      <w:autoSpaceDN w:val="0"/>
      <w:spacing w:line="240" w:lineRule="auto"/>
      <w:ind w:left="136"/>
      <w:jc w:val="both"/>
    </w:pPr>
    <w:rPr>
      <w:rFonts w:ascii="Arial" w:eastAsia="Arial" w:hAnsi="Arial" w:cs="Arial"/>
      <w:sz w:val="22"/>
      <w:szCs w:val="22"/>
      <w:lang w:eastAsia="fr-FR" w:bidi="fr-FR"/>
    </w:rPr>
  </w:style>
  <w:style w:type="character" w:customStyle="1" w:styleId="CorpsdetexteCar">
    <w:name w:val="Corps de texte Car"/>
    <w:basedOn w:val="Policepardfaut"/>
    <w:link w:val="Corpsdetexte"/>
    <w:uiPriority w:val="1"/>
    <w:rsid w:val="00C02303"/>
    <w:rPr>
      <w:rFonts w:ascii="Arial" w:eastAsia="Arial" w:hAnsi="Arial" w:cs="Arial"/>
      <w:sz w:val="22"/>
      <w:szCs w:val="22"/>
      <w:lang w:eastAsia="fr-FR" w:bidi="fr-FR"/>
    </w:rPr>
  </w:style>
  <w:style w:type="character" w:styleId="Lienhypertextesuivivisit">
    <w:name w:val="FollowedHyperlink"/>
    <w:basedOn w:val="Policepardfaut"/>
    <w:uiPriority w:val="99"/>
    <w:semiHidden/>
    <w:unhideWhenUsed/>
    <w:rsid w:val="00F76BCB"/>
    <w:rPr>
      <w:color w:val="800080" w:themeColor="followedHyperlink"/>
      <w:u w:val="single"/>
    </w:rPr>
  </w:style>
  <w:style w:type="paragraph" w:customStyle="1" w:styleId="Heading3">
    <w:name w:val="Heading 3"/>
    <w:basedOn w:val="Normal"/>
    <w:uiPriority w:val="1"/>
    <w:qFormat/>
    <w:rsid w:val="009C5FA4"/>
    <w:pPr>
      <w:widowControl w:val="0"/>
      <w:autoSpaceDE w:val="0"/>
      <w:autoSpaceDN w:val="0"/>
      <w:spacing w:line="240" w:lineRule="auto"/>
      <w:ind w:left="496" w:hanging="361"/>
      <w:outlineLvl w:val="3"/>
    </w:pPr>
    <w:rPr>
      <w:rFonts w:ascii="Arial" w:eastAsia="Arial" w:hAnsi="Arial" w:cs="Arial"/>
      <w:b/>
      <w:bCs/>
      <w:sz w:val="22"/>
      <w:szCs w:val="22"/>
      <w:lang w:eastAsia="fr-FR" w:bidi="fr-FR"/>
    </w:rPr>
  </w:style>
  <w:style w:type="paragraph" w:styleId="En-tte">
    <w:name w:val="header"/>
    <w:basedOn w:val="Normal"/>
    <w:link w:val="En-tteCar"/>
    <w:uiPriority w:val="99"/>
    <w:semiHidden/>
    <w:unhideWhenUsed/>
    <w:rsid w:val="00C979B6"/>
    <w:pPr>
      <w:tabs>
        <w:tab w:val="center" w:pos="4536"/>
        <w:tab w:val="right" w:pos="9072"/>
      </w:tabs>
      <w:spacing w:line="240" w:lineRule="auto"/>
    </w:pPr>
  </w:style>
  <w:style w:type="character" w:customStyle="1" w:styleId="En-tteCar">
    <w:name w:val="En-tête Car"/>
    <w:basedOn w:val="Policepardfaut"/>
    <w:link w:val="En-tte"/>
    <w:uiPriority w:val="99"/>
    <w:semiHidden/>
    <w:rsid w:val="00C979B6"/>
  </w:style>
  <w:style w:type="paragraph" w:styleId="Pieddepage">
    <w:name w:val="footer"/>
    <w:basedOn w:val="Normal"/>
    <w:link w:val="PieddepageCar"/>
    <w:uiPriority w:val="99"/>
    <w:unhideWhenUsed/>
    <w:rsid w:val="00C979B6"/>
    <w:pPr>
      <w:tabs>
        <w:tab w:val="center" w:pos="4536"/>
        <w:tab w:val="right" w:pos="9072"/>
      </w:tabs>
      <w:spacing w:line="240" w:lineRule="auto"/>
    </w:pPr>
  </w:style>
  <w:style w:type="character" w:customStyle="1" w:styleId="PieddepageCar">
    <w:name w:val="Pied de page Car"/>
    <w:basedOn w:val="Policepardfaut"/>
    <w:link w:val="Pieddepage"/>
    <w:uiPriority w:val="99"/>
    <w:rsid w:val="00C979B6"/>
  </w:style>
  <w:style w:type="paragraph" w:customStyle="1" w:styleId="Default">
    <w:name w:val="Default"/>
    <w:rsid w:val="003A5325"/>
    <w:pPr>
      <w:autoSpaceDE w:val="0"/>
      <w:autoSpaceDN w:val="0"/>
      <w:adjustRightInd w:val="0"/>
      <w:spacing w:line="240" w:lineRule="auto"/>
    </w:pPr>
    <w:rPr>
      <w:rFonts w:ascii="Arial" w:hAnsi="Arial" w:cs="Arial"/>
      <w:color w:val="000000"/>
    </w:rPr>
  </w:style>
  <w:style w:type="character" w:customStyle="1" w:styleId="hgkelc">
    <w:name w:val="hgkelc"/>
    <w:basedOn w:val="Policepardfaut"/>
    <w:rsid w:val="00605FA9"/>
  </w:style>
  <w:style w:type="character" w:styleId="lev">
    <w:name w:val="Strong"/>
    <w:basedOn w:val="Policepardfaut"/>
    <w:uiPriority w:val="22"/>
    <w:qFormat/>
    <w:rsid w:val="00380573"/>
    <w:rPr>
      <w:b/>
      <w:bCs/>
    </w:rPr>
  </w:style>
</w:styles>
</file>

<file path=word/webSettings.xml><?xml version="1.0" encoding="utf-8"?>
<w:webSettings xmlns:r="http://schemas.openxmlformats.org/officeDocument/2006/relationships" xmlns:w="http://schemas.openxmlformats.org/wordprocessingml/2006/main">
  <w:divs>
    <w:div w:id="298925631">
      <w:bodyDiv w:val="1"/>
      <w:marLeft w:val="0"/>
      <w:marRight w:val="0"/>
      <w:marTop w:val="0"/>
      <w:marBottom w:val="0"/>
      <w:divBdr>
        <w:top w:val="none" w:sz="0" w:space="0" w:color="auto"/>
        <w:left w:val="none" w:sz="0" w:space="0" w:color="auto"/>
        <w:bottom w:val="none" w:sz="0" w:space="0" w:color="auto"/>
        <w:right w:val="none" w:sz="0" w:space="0" w:color="auto"/>
      </w:divBdr>
    </w:div>
    <w:div w:id="367217416">
      <w:bodyDiv w:val="1"/>
      <w:marLeft w:val="0"/>
      <w:marRight w:val="0"/>
      <w:marTop w:val="0"/>
      <w:marBottom w:val="0"/>
      <w:divBdr>
        <w:top w:val="none" w:sz="0" w:space="0" w:color="auto"/>
        <w:left w:val="none" w:sz="0" w:space="0" w:color="auto"/>
        <w:bottom w:val="none" w:sz="0" w:space="0" w:color="auto"/>
        <w:right w:val="none" w:sz="0" w:space="0" w:color="auto"/>
      </w:divBdr>
    </w:div>
    <w:div w:id="843209809">
      <w:bodyDiv w:val="1"/>
      <w:marLeft w:val="0"/>
      <w:marRight w:val="0"/>
      <w:marTop w:val="0"/>
      <w:marBottom w:val="0"/>
      <w:divBdr>
        <w:top w:val="none" w:sz="0" w:space="0" w:color="auto"/>
        <w:left w:val="none" w:sz="0" w:space="0" w:color="auto"/>
        <w:bottom w:val="none" w:sz="0" w:space="0" w:color="auto"/>
        <w:right w:val="none" w:sz="0" w:space="0" w:color="auto"/>
      </w:divBdr>
    </w:div>
    <w:div w:id="1178815176">
      <w:bodyDiv w:val="1"/>
      <w:marLeft w:val="0"/>
      <w:marRight w:val="0"/>
      <w:marTop w:val="0"/>
      <w:marBottom w:val="0"/>
      <w:divBdr>
        <w:top w:val="none" w:sz="0" w:space="0" w:color="auto"/>
        <w:left w:val="none" w:sz="0" w:space="0" w:color="auto"/>
        <w:bottom w:val="none" w:sz="0" w:space="0" w:color="auto"/>
        <w:right w:val="none" w:sz="0" w:space="0" w:color="auto"/>
      </w:divBdr>
    </w:div>
    <w:div w:id="1753428030">
      <w:bodyDiv w:val="1"/>
      <w:marLeft w:val="0"/>
      <w:marRight w:val="0"/>
      <w:marTop w:val="0"/>
      <w:marBottom w:val="0"/>
      <w:divBdr>
        <w:top w:val="none" w:sz="0" w:space="0" w:color="auto"/>
        <w:left w:val="none" w:sz="0" w:space="0" w:color="auto"/>
        <w:bottom w:val="none" w:sz="0" w:space="0" w:color="auto"/>
        <w:right w:val="none" w:sz="0" w:space="0" w:color="auto"/>
      </w:divBdr>
      <w:divsChild>
        <w:div w:id="434793108">
          <w:marLeft w:val="0"/>
          <w:marRight w:val="0"/>
          <w:marTop w:val="0"/>
          <w:marBottom w:val="0"/>
          <w:divBdr>
            <w:top w:val="none" w:sz="0" w:space="0" w:color="auto"/>
            <w:left w:val="none" w:sz="0" w:space="0" w:color="auto"/>
            <w:bottom w:val="none" w:sz="0" w:space="0" w:color="auto"/>
            <w:right w:val="none" w:sz="0" w:space="0" w:color="auto"/>
          </w:divBdr>
        </w:div>
        <w:div w:id="941186097">
          <w:marLeft w:val="0"/>
          <w:marRight w:val="0"/>
          <w:marTop w:val="0"/>
          <w:marBottom w:val="0"/>
          <w:divBdr>
            <w:top w:val="none" w:sz="0" w:space="0" w:color="auto"/>
            <w:left w:val="none" w:sz="0" w:space="0" w:color="auto"/>
            <w:bottom w:val="none" w:sz="0" w:space="0" w:color="auto"/>
            <w:right w:val="none" w:sz="0" w:space="0" w:color="auto"/>
          </w:divBdr>
          <w:divsChild>
            <w:div w:id="13266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researchgate.net/publication/232320103_Ligand-specific_homology_modeling_of_human_cannabinoid_CB1_recepto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rcsb.org/structure/5UOW" TargetMode="External"/><Relationship Id="rId2" Type="http://schemas.openxmlformats.org/officeDocument/2006/relationships/styles" Target="styles.xml"/><Relationship Id="rId16" Type="http://schemas.openxmlformats.org/officeDocument/2006/relationships/hyperlink" Target="https://www.rcsb.org/structure/6D6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rcsb.org/structure/7LJD" TargetMode="External"/><Relationship Id="rId10" Type="http://schemas.openxmlformats.org/officeDocument/2006/relationships/hyperlink" Target="https://doi.org/10.1016/j.neuron.2011.02.016" TargetMode="External"/><Relationship Id="rId19" Type="http://schemas.openxmlformats.org/officeDocument/2006/relationships/hyperlink" Target="http://hex.loria.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ture.com/articles/npp2017126"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974</TotalTime>
  <Pages>6</Pages>
  <Words>1424</Words>
  <Characters>7836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Guili</dc:creator>
  <cp:lastModifiedBy>Vincent Guili</cp:lastModifiedBy>
  <cp:revision>42</cp:revision>
  <dcterms:created xsi:type="dcterms:W3CDTF">2021-06-21T08:03:00Z</dcterms:created>
  <dcterms:modified xsi:type="dcterms:W3CDTF">2022-05-02T20:30:00Z</dcterms:modified>
</cp:coreProperties>
</file>